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5409A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</w:t>
      </w:r>
      <w:r w:rsidR="00530FDD">
        <w:rPr>
          <w:b/>
          <w:sz w:val="24"/>
          <w:szCs w:val="24"/>
        </w:rPr>
        <w:t>4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5409A3">
        <w:rPr>
          <w:sz w:val="22"/>
          <w:szCs w:val="22"/>
        </w:rPr>
        <w:t>1</w:t>
      </w:r>
      <w:r w:rsidR="00530FDD">
        <w:rPr>
          <w:sz w:val="22"/>
          <w:szCs w:val="22"/>
        </w:rPr>
        <w:t>9</w:t>
      </w:r>
      <w:r w:rsidR="005409A3">
        <w:rPr>
          <w:sz w:val="22"/>
          <w:szCs w:val="22"/>
        </w:rPr>
        <w:t xml:space="preserve"> ноября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5409A3">
        <w:rPr>
          <w:sz w:val="22"/>
          <w:szCs w:val="22"/>
        </w:rPr>
        <w:t>11.</w:t>
      </w:r>
      <w:r w:rsidR="00530FDD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4B4E04">
        <w:rPr>
          <w:sz w:val="22"/>
          <w:szCs w:val="22"/>
        </w:rPr>
        <w:t>12.30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5409A3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4B4E04">
        <w:rPr>
          <w:sz w:val="22"/>
          <w:szCs w:val="22"/>
        </w:rPr>
        <w:t>7</w:t>
      </w:r>
      <w:r w:rsidR="00253388">
        <w:rPr>
          <w:sz w:val="22"/>
          <w:szCs w:val="22"/>
        </w:rPr>
        <w:t>-и</w:t>
      </w:r>
      <w:r w:rsidR="0021423B">
        <w:rPr>
          <w:sz w:val="22"/>
          <w:szCs w:val="22"/>
        </w:rPr>
        <w:t xml:space="preserve"> </w:t>
      </w:r>
      <w:r w:rsidR="00553115">
        <w:rPr>
          <w:sz w:val="22"/>
          <w:szCs w:val="22"/>
        </w:rPr>
        <w:t>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4B4E04">
        <w:rPr>
          <w:sz w:val="22"/>
          <w:szCs w:val="22"/>
        </w:rPr>
        <w:t>7</w:t>
      </w:r>
      <w:r w:rsidR="00253388">
        <w:rPr>
          <w:sz w:val="22"/>
          <w:szCs w:val="22"/>
        </w:rPr>
        <w:t>-и</w:t>
      </w:r>
      <w:r w:rsidR="00553115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4B4E04">
        <w:t>7</w:t>
      </w:r>
      <w:r w:rsidR="00253388">
        <w:rPr>
          <w:sz w:val="22"/>
          <w:szCs w:val="22"/>
        </w:rPr>
        <w:t>-и</w:t>
      </w:r>
      <w:r w:rsidR="0021423B">
        <w:rPr>
          <w:sz w:val="22"/>
          <w:szCs w:val="22"/>
        </w:rPr>
        <w:t xml:space="preserve"> </w:t>
      </w:r>
      <w:r w:rsidR="00553115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BB6521" w:rsidRDefault="001E71CC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53115">
        <w:rPr>
          <w:sz w:val="22"/>
          <w:szCs w:val="22"/>
        </w:rPr>
        <w:t xml:space="preserve"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 </w:t>
      </w:r>
      <w:r w:rsidR="00530FDD" w:rsidRPr="00530FDD">
        <w:rPr>
          <w:sz w:val="22"/>
          <w:szCs w:val="22"/>
        </w:rPr>
        <w:t>ФГУП ЦНИРИ им. Академика А.И. Берга</w:t>
      </w:r>
      <w:r w:rsidRPr="00553115">
        <w:rPr>
          <w:sz w:val="22"/>
          <w:szCs w:val="22"/>
        </w:rPr>
        <w:t>.</w:t>
      </w:r>
    </w:p>
    <w:p w:rsidR="00FA687D" w:rsidRDefault="00FA687D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94B3D">
        <w:rPr>
          <w:sz w:val="22"/>
          <w:szCs w:val="22"/>
        </w:rPr>
        <w:t xml:space="preserve">Возобновление действия свидетельства о допуске № </w:t>
      </w:r>
      <w:r w:rsidRPr="00530FDD">
        <w:rPr>
          <w:sz w:val="22"/>
          <w:szCs w:val="22"/>
        </w:rPr>
        <w:t>0154.01-20137714913129-С-207</w:t>
      </w:r>
      <w:r>
        <w:rPr>
          <w:sz w:val="22"/>
          <w:szCs w:val="22"/>
        </w:rPr>
        <w:t xml:space="preserve"> </w:t>
      </w:r>
      <w:r w:rsidRPr="00C94B3D">
        <w:rPr>
          <w:sz w:val="22"/>
          <w:szCs w:val="22"/>
        </w:rPr>
        <w:t xml:space="preserve">от </w:t>
      </w:r>
      <w:r>
        <w:rPr>
          <w:sz w:val="22"/>
          <w:szCs w:val="22"/>
        </w:rPr>
        <w:t>19.11</w:t>
      </w:r>
      <w:r w:rsidRPr="00C94B3D">
        <w:rPr>
          <w:sz w:val="22"/>
          <w:szCs w:val="22"/>
        </w:rPr>
        <w:t xml:space="preserve">.2013г. ООО </w:t>
      </w:r>
      <w:r>
        <w:rPr>
          <w:sz w:val="22"/>
          <w:szCs w:val="22"/>
        </w:rPr>
        <w:t xml:space="preserve">СК </w:t>
      </w:r>
      <w:r w:rsidRPr="00C94B3D">
        <w:rPr>
          <w:sz w:val="22"/>
          <w:szCs w:val="22"/>
        </w:rPr>
        <w:t>«</w:t>
      </w:r>
      <w:r>
        <w:rPr>
          <w:sz w:val="22"/>
          <w:szCs w:val="22"/>
        </w:rPr>
        <w:t>Верный путь</w:t>
      </w:r>
      <w:r w:rsidRPr="00C94B3D">
        <w:rPr>
          <w:sz w:val="22"/>
          <w:szCs w:val="22"/>
        </w:rPr>
        <w:t>»</w:t>
      </w:r>
      <w:r w:rsidR="00253388">
        <w:rPr>
          <w:sz w:val="22"/>
          <w:szCs w:val="22"/>
        </w:rPr>
        <w:t>.</w:t>
      </w:r>
    </w:p>
    <w:p w:rsidR="00253388" w:rsidRDefault="00253388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253388">
        <w:rPr>
          <w:sz w:val="22"/>
          <w:szCs w:val="22"/>
        </w:rPr>
        <w:t>Возобновление действия свидетельства о допуске № 0096.03-2013-7715685820-С-207</w:t>
      </w:r>
      <w:r>
        <w:rPr>
          <w:sz w:val="22"/>
          <w:szCs w:val="22"/>
        </w:rPr>
        <w:t xml:space="preserve"> </w:t>
      </w:r>
      <w:r w:rsidRPr="00253388">
        <w:rPr>
          <w:sz w:val="22"/>
          <w:szCs w:val="22"/>
        </w:rPr>
        <w:t xml:space="preserve">от </w:t>
      </w:r>
      <w:r>
        <w:rPr>
          <w:sz w:val="22"/>
          <w:szCs w:val="22"/>
        </w:rPr>
        <w:t>21.01</w:t>
      </w:r>
      <w:r w:rsidRPr="00253388">
        <w:rPr>
          <w:sz w:val="22"/>
          <w:szCs w:val="22"/>
        </w:rPr>
        <w:t xml:space="preserve">.2013г.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Мегастрой</w:t>
      </w:r>
      <w:proofErr w:type="spellEnd"/>
      <w:r w:rsidRPr="00253388">
        <w:rPr>
          <w:sz w:val="22"/>
          <w:szCs w:val="22"/>
        </w:rPr>
        <w:t>».</w:t>
      </w:r>
    </w:p>
    <w:p w:rsidR="00553115" w:rsidRDefault="00530FDD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53115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>
        <w:rPr>
          <w:sz w:val="22"/>
          <w:szCs w:val="22"/>
        </w:rPr>
        <w:t xml:space="preserve"> - ООО «</w:t>
      </w:r>
      <w:proofErr w:type="spellStart"/>
      <w:r>
        <w:rPr>
          <w:sz w:val="22"/>
          <w:szCs w:val="22"/>
        </w:rPr>
        <w:t>Водотеплотех</w:t>
      </w:r>
      <w:proofErr w:type="spellEnd"/>
      <w:r>
        <w:rPr>
          <w:sz w:val="22"/>
          <w:szCs w:val="22"/>
        </w:rPr>
        <w:t>»</w:t>
      </w:r>
      <w:r w:rsidR="005409A3">
        <w:rPr>
          <w:sz w:val="22"/>
          <w:szCs w:val="22"/>
        </w:rPr>
        <w:t>.</w:t>
      </w:r>
    </w:p>
    <w:p w:rsidR="005409A3" w:rsidRDefault="00530FDD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53115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>
        <w:rPr>
          <w:sz w:val="22"/>
          <w:szCs w:val="22"/>
        </w:rPr>
        <w:t xml:space="preserve"> - ООО «НПК </w:t>
      </w:r>
      <w:proofErr w:type="spellStart"/>
      <w:r>
        <w:rPr>
          <w:sz w:val="22"/>
          <w:szCs w:val="22"/>
        </w:rPr>
        <w:t>Промир</w:t>
      </w:r>
      <w:proofErr w:type="spellEnd"/>
      <w:r>
        <w:rPr>
          <w:sz w:val="22"/>
          <w:szCs w:val="22"/>
        </w:rPr>
        <w:t>»</w:t>
      </w:r>
      <w:r w:rsidR="005409A3">
        <w:rPr>
          <w:sz w:val="22"/>
          <w:szCs w:val="22"/>
        </w:rPr>
        <w:t>.</w:t>
      </w:r>
    </w:p>
    <w:p w:rsidR="004B4E04" w:rsidRDefault="004B4E04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4B4E04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proofErr w:type="spellStart"/>
      <w:r>
        <w:rPr>
          <w:sz w:val="22"/>
          <w:szCs w:val="22"/>
        </w:rPr>
        <w:t>Трауберг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констракшн</w:t>
      </w:r>
      <w:proofErr w:type="spellEnd"/>
      <w:r w:rsidRPr="004B4E04">
        <w:rPr>
          <w:sz w:val="22"/>
          <w:szCs w:val="22"/>
        </w:rPr>
        <w:t>»</w:t>
      </w:r>
    </w:p>
    <w:p w:rsidR="005546D4" w:rsidRDefault="005546D4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546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</w:t>
      </w:r>
      <w:r>
        <w:rPr>
          <w:sz w:val="22"/>
          <w:szCs w:val="22"/>
        </w:rPr>
        <w:t xml:space="preserve"> </w:t>
      </w:r>
      <w:r>
        <w:t xml:space="preserve">"ДЛ </w:t>
      </w:r>
      <w:proofErr w:type="spellStart"/>
      <w:r>
        <w:t>Проджект</w:t>
      </w:r>
      <w:proofErr w:type="spellEnd"/>
      <w:r>
        <w:t>"</w:t>
      </w:r>
    </w:p>
    <w:p w:rsidR="005409A3" w:rsidRPr="00FA687D" w:rsidRDefault="005409A3" w:rsidP="00FA687D">
      <w:pPr>
        <w:tabs>
          <w:tab w:val="left" w:pos="360"/>
          <w:tab w:val="left" w:pos="567"/>
          <w:tab w:val="left" w:pos="900"/>
        </w:tabs>
        <w:ind w:left="660"/>
        <w:jc w:val="both"/>
        <w:rPr>
          <w:sz w:val="22"/>
          <w:szCs w:val="22"/>
        </w:rPr>
      </w:pP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 w:rsidR="00553115"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392C63" w:rsidRDefault="00F6155F" w:rsidP="00392C6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92C63" w:rsidRPr="00F13977">
        <w:rPr>
          <w:b/>
          <w:sz w:val="22"/>
          <w:szCs w:val="22"/>
        </w:rPr>
        <w:t>Слушали:</w:t>
      </w:r>
    </w:p>
    <w:p w:rsidR="001E71CC" w:rsidRPr="0077019A" w:rsidRDefault="00392C63" w:rsidP="001E71C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proofErr w:type="gramStart"/>
      <w:r w:rsidR="001E71CC"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 w:rsidR="00530FDD" w:rsidRPr="00530FDD">
        <w:rPr>
          <w:sz w:val="22"/>
          <w:szCs w:val="22"/>
        </w:rPr>
        <w:t>ФГУП ЦНИРИ им. Академика А.И. Берга</w:t>
      </w:r>
      <w:r w:rsidR="00530FDD">
        <w:rPr>
          <w:sz w:val="22"/>
          <w:szCs w:val="22"/>
        </w:rPr>
        <w:t xml:space="preserve"> </w:t>
      </w:r>
      <w:r w:rsidR="001E71CC" w:rsidRPr="0077019A">
        <w:rPr>
          <w:sz w:val="22"/>
          <w:szCs w:val="22"/>
        </w:rPr>
        <w:t xml:space="preserve"> (</w:t>
      </w:r>
      <w:r w:rsidR="00530FDD" w:rsidRPr="00530FDD">
        <w:rPr>
          <w:sz w:val="22"/>
          <w:szCs w:val="22"/>
        </w:rPr>
        <w:t>ИНН 7701106880 / ОГРН 1027739035818</w:t>
      </w:r>
      <w:r w:rsidR="001E71CC"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1E71CC" w:rsidRPr="001E71CC">
        <w:rPr>
          <w:sz w:val="22"/>
          <w:szCs w:val="22"/>
        </w:rPr>
        <w:t xml:space="preserve">№ </w:t>
      </w:r>
      <w:r w:rsidR="005409A3" w:rsidRPr="005409A3">
        <w:rPr>
          <w:sz w:val="22"/>
          <w:szCs w:val="22"/>
        </w:rPr>
        <w:t xml:space="preserve"> </w:t>
      </w:r>
      <w:r w:rsidR="00530FDD" w:rsidRPr="00530FDD">
        <w:rPr>
          <w:sz w:val="22"/>
          <w:szCs w:val="22"/>
        </w:rPr>
        <w:t>0024.02-2012-7701106880-С-207</w:t>
      </w:r>
      <w:r w:rsidR="00530FDD">
        <w:rPr>
          <w:sz w:val="22"/>
          <w:szCs w:val="22"/>
        </w:rPr>
        <w:t xml:space="preserve"> </w:t>
      </w:r>
      <w:r w:rsidR="001E71CC" w:rsidRPr="0077019A">
        <w:rPr>
          <w:sz w:val="22"/>
          <w:szCs w:val="22"/>
        </w:rPr>
        <w:t xml:space="preserve">от </w:t>
      </w:r>
      <w:r w:rsidR="00530FDD">
        <w:rPr>
          <w:sz w:val="22"/>
          <w:szCs w:val="22"/>
        </w:rPr>
        <w:t>31.05.2012</w:t>
      </w:r>
      <w:r w:rsidR="005409A3">
        <w:rPr>
          <w:sz w:val="22"/>
          <w:szCs w:val="22"/>
        </w:rPr>
        <w:t>г</w:t>
      </w:r>
      <w:r w:rsidR="001E71CC" w:rsidRPr="0077019A">
        <w:rPr>
          <w:sz w:val="22"/>
          <w:szCs w:val="22"/>
        </w:rPr>
        <w:t xml:space="preserve">. на новое в связи </w:t>
      </w:r>
      <w:r w:rsidR="001E71CC">
        <w:rPr>
          <w:sz w:val="22"/>
          <w:szCs w:val="22"/>
        </w:rPr>
        <w:t>со сменой наименования СРО.</w:t>
      </w:r>
      <w:proofErr w:type="gramEnd"/>
    </w:p>
    <w:p w:rsidR="001E71CC" w:rsidRPr="0077019A" w:rsidRDefault="001E71CC" w:rsidP="001E71CC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530FDD">
        <w:rPr>
          <w:sz w:val="22"/>
          <w:szCs w:val="22"/>
        </w:rPr>
        <w:t>19.11.2015</w:t>
      </w:r>
      <w:r>
        <w:rPr>
          <w:sz w:val="22"/>
          <w:szCs w:val="22"/>
        </w:rPr>
        <w:t xml:space="preserve">г. </w:t>
      </w:r>
      <w:r w:rsidR="00530FDD" w:rsidRPr="00530FDD">
        <w:rPr>
          <w:sz w:val="22"/>
          <w:szCs w:val="22"/>
        </w:rPr>
        <w:t>ФГУП ЦНИРИ им. Академика А.И. Берга</w:t>
      </w:r>
      <w:r w:rsidR="00530FDD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1E71CC" w:rsidRPr="0077019A" w:rsidRDefault="001E71CC" w:rsidP="001E71C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1E71CC" w:rsidRDefault="001E71CC" w:rsidP="001E71C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E71CC" w:rsidRPr="0077019A" w:rsidRDefault="001E71CC" w:rsidP="001E71C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E71CC" w:rsidRPr="0077019A" w:rsidRDefault="001E71CC" w:rsidP="001E71C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1E71CC" w:rsidRPr="0077019A" w:rsidRDefault="001E71CC" w:rsidP="001E71C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E71CC" w:rsidRPr="0077019A" w:rsidRDefault="001E71CC" w:rsidP="001E71C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E71CC" w:rsidRDefault="001E71CC" w:rsidP="001E71C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B3238" w:rsidRDefault="001E71CC" w:rsidP="001E71CC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="00530FDD" w:rsidRPr="00530FDD">
        <w:rPr>
          <w:sz w:val="22"/>
          <w:szCs w:val="22"/>
        </w:rPr>
        <w:t>ФГУП ЦНИРИ им. Академика А.И. Берга  (ИНН 7701106880 / ОГРН 1027739035818)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530FDD" w:rsidRPr="001E71CC">
        <w:rPr>
          <w:sz w:val="22"/>
          <w:szCs w:val="22"/>
        </w:rPr>
        <w:t xml:space="preserve">№ </w:t>
      </w:r>
      <w:r w:rsidR="00530FDD" w:rsidRPr="005409A3">
        <w:rPr>
          <w:sz w:val="22"/>
          <w:szCs w:val="22"/>
        </w:rPr>
        <w:t xml:space="preserve"> </w:t>
      </w:r>
      <w:r w:rsidR="00530FDD" w:rsidRPr="00530FDD">
        <w:rPr>
          <w:sz w:val="22"/>
          <w:szCs w:val="22"/>
        </w:rPr>
        <w:t>0024.0</w:t>
      </w:r>
      <w:r w:rsidR="00530FDD">
        <w:rPr>
          <w:sz w:val="22"/>
          <w:szCs w:val="22"/>
        </w:rPr>
        <w:t>3</w:t>
      </w:r>
      <w:r w:rsidR="00530FDD" w:rsidRPr="00530FDD">
        <w:rPr>
          <w:sz w:val="22"/>
          <w:szCs w:val="22"/>
        </w:rPr>
        <w:t>-201</w:t>
      </w:r>
      <w:r w:rsidR="00530FDD">
        <w:rPr>
          <w:sz w:val="22"/>
          <w:szCs w:val="22"/>
        </w:rPr>
        <w:t>5</w:t>
      </w:r>
      <w:r w:rsidR="00530FDD" w:rsidRPr="00530FDD">
        <w:rPr>
          <w:sz w:val="22"/>
          <w:szCs w:val="22"/>
        </w:rPr>
        <w:t>-7701106880-С-207</w:t>
      </w:r>
      <w:r w:rsidR="00530FDD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530FDD" w:rsidRPr="001E71CC">
        <w:rPr>
          <w:sz w:val="22"/>
          <w:szCs w:val="22"/>
        </w:rPr>
        <w:t xml:space="preserve">№ </w:t>
      </w:r>
      <w:r w:rsidR="00530FDD" w:rsidRPr="005409A3">
        <w:rPr>
          <w:sz w:val="22"/>
          <w:szCs w:val="22"/>
        </w:rPr>
        <w:t xml:space="preserve"> </w:t>
      </w:r>
      <w:r w:rsidR="00530FDD" w:rsidRPr="00530FDD">
        <w:rPr>
          <w:sz w:val="22"/>
          <w:szCs w:val="22"/>
        </w:rPr>
        <w:t>0024.02-2012-7701106880-С-207</w:t>
      </w:r>
      <w:r w:rsidR="00530FDD">
        <w:rPr>
          <w:sz w:val="22"/>
          <w:szCs w:val="22"/>
        </w:rPr>
        <w:t xml:space="preserve"> </w:t>
      </w:r>
      <w:r w:rsidR="00530FDD" w:rsidRPr="0077019A">
        <w:rPr>
          <w:sz w:val="22"/>
          <w:szCs w:val="22"/>
        </w:rPr>
        <w:t xml:space="preserve">от </w:t>
      </w:r>
      <w:r w:rsidR="00530FDD">
        <w:rPr>
          <w:sz w:val="22"/>
          <w:szCs w:val="22"/>
        </w:rPr>
        <w:t>31.05.2012г</w:t>
      </w:r>
      <w:r w:rsidR="00530FDD" w:rsidRPr="0077019A">
        <w:rPr>
          <w:sz w:val="22"/>
          <w:szCs w:val="22"/>
        </w:rPr>
        <w:t>.</w:t>
      </w:r>
    </w:p>
    <w:p w:rsidR="00C264AB" w:rsidRDefault="003B3238" w:rsidP="00C264A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A687D" w:rsidRPr="00201DB7" w:rsidRDefault="00C264AB" w:rsidP="00FA687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A687D" w:rsidRPr="00201DB7">
        <w:rPr>
          <w:b/>
          <w:i/>
          <w:sz w:val="22"/>
          <w:szCs w:val="22"/>
        </w:rPr>
        <w:t xml:space="preserve">По  </w:t>
      </w:r>
      <w:r w:rsidR="00FA687D">
        <w:rPr>
          <w:b/>
          <w:i/>
          <w:sz w:val="22"/>
          <w:szCs w:val="22"/>
        </w:rPr>
        <w:t xml:space="preserve">второму </w:t>
      </w:r>
      <w:r w:rsidR="00FA687D" w:rsidRPr="00201DB7">
        <w:rPr>
          <w:b/>
          <w:i/>
          <w:sz w:val="22"/>
          <w:szCs w:val="22"/>
        </w:rPr>
        <w:t>вопросу повестки дня</w:t>
      </w:r>
    </w:p>
    <w:p w:rsidR="00FA687D" w:rsidRPr="007931B2" w:rsidRDefault="00FA687D" w:rsidP="00FA687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7931B2">
        <w:rPr>
          <w:b/>
          <w:sz w:val="22"/>
          <w:szCs w:val="22"/>
        </w:rPr>
        <w:t>Слушали:</w:t>
      </w:r>
    </w:p>
    <w:p w:rsidR="00FA687D" w:rsidRPr="007931B2" w:rsidRDefault="00FA687D" w:rsidP="00FA687D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FA687D" w:rsidRPr="007931B2" w:rsidRDefault="00FA687D" w:rsidP="00FA687D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СК «Верный путь»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A687D">
        <w:rPr>
          <w:sz w:val="22"/>
          <w:szCs w:val="22"/>
        </w:rPr>
        <w:t>ИНН - 7714913129 / ОГРН - 1137746738458</w:t>
      </w:r>
      <w:r>
        <w:rPr>
          <w:sz w:val="22"/>
          <w:szCs w:val="22"/>
        </w:rPr>
        <w:t>) 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17.11.2015г</w:t>
      </w:r>
      <w:r w:rsidRPr="007931B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Союз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поступил полис страхования гражданской ответственности ООО СК «Верный путь», что свидетельствует об устранении</w:t>
      </w:r>
      <w:proofErr w:type="gramEnd"/>
      <w:r>
        <w:rPr>
          <w:sz w:val="22"/>
          <w:szCs w:val="22"/>
        </w:rPr>
        <w:t xml:space="preserve"> нарушения, послужившего основанием для приостановления 12.11.2015г. действия свидетельства </w:t>
      </w:r>
      <w:r w:rsidRPr="00E37553">
        <w:rPr>
          <w:sz w:val="22"/>
          <w:szCs w:val="22"/>
        </w:rPr>
        <w:t xml:space="preserve">№ </w:t>
      </w:r>
      <w:r w:rsidRPr="00FA687D">
        <w:rPr>
          <w:sz w:val="22"/>
          <w:szCs w:val="22"/>
        </w:rPr>
        <w:t>0154.01-20137714913129-С-207</w:t>
      </w:r>
      <w:r>
        <w:rPr>
          <w:sz w:val="22"/>
          <w:szCs w:val="22"/>
        </w:rPr>
        <w:t xml:space="preserve"> от 19.11.2013г. о допуске ООО </w:t>
      </w:r>
      <w:r w:rsidRPr="00FA687D">
        <w:rPr>
          <w:sz w:val="22"/>
          <w:szCs w:val="22"/>
        </w:rPr>
        <w:t>СК «Верный путь»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строительства.</w:t>
      </w:r>
    </w:p>
    <w:p w:rsidR="00FA687D" w:rsidRDefault="00FA687D" w:rsidP="00FA687D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FA687D" w:rsidRPr="007931B2" w:rsidRDefault="00FA687D" w:rsidP="00FA6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FA687D" w:rsidRDefault="00FA687D" w:rsidP="00FA687D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E37553">
        <w:rPr>
          <w:sz w:val="22"/>
          <w:szCs w:val="22"/>
        </w:rPr>
        <w:t xml:space="preserve">№ </w:t>
      </w:r>
      <w:r w:rsidRPr="00FA687D">
        <w:rPr>
          <w:sz w:val="22"/>
          <w:szCs w:val="22"/>
        </w:rPr>
        <w:t>0154.01-20137714913129-С-207</w:t>
      </w:r>
      <w:r>
        <w:rPr>
          <w:sz w:val="22"/>
          <w:szCs w:val="22"/>
        </w:rPr>
        <w:t xml:space="preserve"> от 19.11.2013г. о допуске ООО </w:t>
      </w:r>
      <w:r w:rsidRPr="00FA687D">
        <w:rPr>
          <w:sz w:val="22"/>
          <w:szCs w:val="22"/>
        </w:rPr>
        <w:t>СК «Верный путь»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FA687D" w:rsidRPr="007931B2" w:rsidRDefault="00FA687D" w:rsidP="00FA687D">
      <w:pPr>
        <w:jc w:val="both"/>
        <w:rPr>
          <w:sz w:val="22"/>
          <w:szCs w:val="22"/>
        </w:rPr>
      </w:pPr>
    </w:p>
    <w:p w:rsidR="00FA687D" w:rsidRPr="007931B2" w:rsidRDefault="00FA687D" w:rsidP="00FA687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FA687D" w:rsidRPr="007931B2" w:rsidRDefault="00FA687D" w:rsidP="00FA687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FA687D" w:rsidRPr="007931B2" w:rsidRDefault="00FA687D" w:rsidP="00FA687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FA687D" w:rsidRPr="007931B2" w:rsidRDefault="00FA687D" w:rsidP="00FA687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FA687D" w:rsidRPr="007931B2" w:rsidRDefault="00FA687D" w:rsidP="00FA687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FA687D" w:rsidRPr="007931B2" w:rsidRDefault="00FA687D" w:rsidP="00FA687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FA687D" w:rsidRPr="007931B2" w:rsidRDefault="00FA687D" w:rsidP="00FA687D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2.1.</w:t>
      </w:r>
      <w:r w:rsidRPr="007931B2">
        <w:rPr>
          <w:sz w:val="22"/>
          <w:szCs w:val="22"/>
        </w:rPr>
        <w:t xml:space="preserve"> Возобновить действие </w:t>
      </w:r>
      <w:r>
        <w:rPr>
          <w:sz w:val="22"/>
          <w:szCs w:val="22"/>
        </w:rPr>
        <w:t xml:space="preserve">свидетельства </w:t>
      </w:r>
      <w:r w:rsidRPr="00E37553">
        <w:rPr>
          <w:sz w:val="22"/>
          <w:szCs w:val="22"/>
        </w:rPr>
        <w:t xml:space="preserve">№ </w:t>
      </w:r>
      <w:r w:rsidRPr="00FA687D">
        <w:rPr>
          <w:sz w:val="22"/>
          <w:szCs w:val="22"/>
        </w:rPr>
        <w:t>0154.01-20137714913129-С-207</w:t>
      </w:r>
      <w:r>
        <w:rPr>
          <w:sz w:val="22"/>
          <w:szCs w:val="22"/>
        </w:rPr>
        <w:t xml:space="preserve"> от 19.11.2013г.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r w:rsidRPr="00FA687D">
        <w:rPr>
          <w:sz w:val="22"/>
          <w:szCs w:val="22"/>
        </w:rPr>
        <w:t>СК «Верный путь»</w:t>
      </w:r>
      <w:r>
        <w:rPr>
          <w:sz w:val="22"/>
          <w:szCs w:val="22"/>
        </w:rPr>
        <w:t xml:space="preserve">  </w:t>
      </w:r>
      <w:r w:rsidRPr="007931B2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FA687D" w:rsidRPr="007931B2" w:rsidRDefault="00FA687D" w:rsidP="00FA687D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2.2.</w:t>
      </w:r>
      <w:r w:rsidRPr="007931B2">
        <w:rPr>
          <w:sz w:val="22"/>
          <w:szCs w:val="22"/>
        </w:rPr>
        <w:t xml:space="preserve"> Уведомить ООО </w:t>
      </w:r>
      <w:r w:rsidRPr="00FA687D">
        <w:rPr>
          <w:sz w:val="22"/>
          <w:szCs w:val="22"/>
        </w:rPr>
        <w:t>СК «Верный путь»</w:t>
      </w:r>
      <w:r w:rsidRPr="007931B2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FA687D" w:rsidRDefault="00FA687D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253388" w:rsidRPr="00201DB7" w:rsidRDefault="00253388" w:rsidP="0025338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третьему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253388" w:rsidRPr="007931B2" w:rsidRDefault="00253388" w:rsidP="0025338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7931B2">
        <w:rPr>
          <w:b/>
          <w:sz w:val="22"/>
          <w:szCs w:val="22"/>
        </w:rPr>
        <w:t>Слушали:</w:t>
      </w:r>
    </w:p>
    <w:p w:rsidR="00253388" w:rsidRPr="007931B2" w:rsidRDefault="00253388" w:rsidP="00253388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253388" w:rsidRPr="007931B2" w:rsidRDefault="00253388" w:rsidP="00253388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lastRenderedPageBreak/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proofErr w:type="spellStart"/>
      <w:r>
        <w:rPr>
          <w:sz w:val="22"/>
          <w:szCs w:val="22"/>
        </w:rPr>
        <w:t>Мегастрой</w:t>
      </w:r>
      <w:proofErr w:type="spellEnd"/>
      <w:r>
        <w:rPr>
          <w:sz w:val="22"/>
          <w:szCs w:val="22"/>
        </w:rPr>
        <w:t>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53388">
        <w:rPr>
          <w:sz w:val="22"/>
          <w:szCs w:val="22"/>
        </w:rPr>
        <w:t>ИНН 7715685820 /ОГРН 1087746164483</w:t>
      </w:r>
      <w:r>
        <w:rPr>
          <w:sz w:val="22"/>
          <w:szCs w:val="22"/>
        </w:rPr>
        <w:t>) 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18.11.2015г</w:t>
      </w:r>
      <w:r w:rsidRPr="007931B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Союз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поступил полис страхования гражданской ответственности ООО «</w:t>
      </w:r>
      <w:proofErr w:type="spellStart"/>
      <w:r>
        <w:rPr>
          <w:sz w:val="22"/>
          <w:szCs w:val="22"/>
        </w:rPr>
        <w:t>Мегастрой</w:t>
      </w:r>
      <w:proofErr w:type="spellEnd"/>
      <w:r>
        <w:rPr>
          <w:sz w:val="22"/>
          <w:szCs w:val="22"/>
        </w:rPr>
        <w:t>», что свидетельствует об устранении нарушения, послужившего основанием для</w:t>
      </w:r>
      <w:proofErr w:type="gramEnd"/>
      <w:r>
        <w:rPr>
          <w:sz w:val="22"/>
          <w:szCs w:val="22"/>
        </w:rPr>
        <w:t xml:space="preserve"> приостановления 02.11.2015г. действия свидетельства </w:t>
      </w:r>
      <w:r w:rsidRPr="00253388">
        <w:rPr>
          <w:sz w:val="22"/>
          <w:szCs w:val="22"/>
        </w:rPr>
        <w:t>№ 0096.03-2013-7715685820-С-207</w:t>
      </w:r>
      <w:r>
        <w:rPr>
          <w:sz w:val="22"/>
          <w:szCs w:val="22"/>
        </w:rPr>
        <w:t xml:space="preserve"> от 21.01.2013г. о допуске ООО «</w:t>
      </w:r>
      <w:proofErr w:type="spellStart"/>
      <w:r>
        <w:rPr>
          <w:sz w:val="22"/>
          <w:szCs w:val="22"/>
        </w:rPr>
        <w:t>Мегастрой</w:t>
      </w:r>
      <w:proofErr w:type="spellEnd"/>
      <w:r w:rsidRPr="00FA687D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строительства.</w:t>
      </w:r>
    </w:p>
    <w:p w:rsidR="00253388" w:rsidRDefault="00253388" w:rsidP="00253388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253388" w:rsidRPr="007931B2" w:rsidRDefault="00253388" w:rsidP="002533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253388" w:rsidRDefault="00253388" w:rsidP="00253388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253388">
        <w:rPr>
          <w:sz w:val="22"/>
          <w:szCs w:val="22"/>
        </w:rPr>
        <w:t>№ 0096.03-2013-7715685820-С-207 от 21.01.2013г.</w:t>
      </w:r>
      <w:r>
        <w:rPr>
          <w:sz w:val="22"/>
          <w:szCs w:val="22"/>
        </w:rPr>
        <w:t xml:space="preserve"> о допуске ООО «</w:t>
      </w:r>
      <w:proofErr w:type="spellStart"/>
      <w:r>
        <w:rPr>
          <w:sz w:val="22"/>
          <w:szCs w:val="22"/>
        </w:rPr>
        <w:t>Мегастрой</w:t>
      </w:r>
      <w:proofErr w:type="spellEnd"/>
      <w:r w:rsidRPr="00FA687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253388" w:rsidRPr="007931B2" w:rsidRDefault="00253388" w:rsidP="00253388">
      <w:pPr>
        <w:jc w:val="both"/>
        <w:rPr>
          <w:sz w:val="22"/>
          <w:szCs w:val="22"/>
        </w:rPr>
      </w:pPr>
    </w:p>
    <w:p w:rsidR="00253388" w:rsidRPr="007931B2" w:rsidRDefault="00253388" w:rsidP="0025338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253388" w:rsidRPr="007931B2" w:rsidRDefault="00253388" w:rsidP="0025338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253388" w:rsidRPr="007931B2" w:rsidRDefault="00253388" w:rsidP="002533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253388" w:rsidRPr="007931B2" w:rsidRDefault="00253388" w:rsidP="002533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253388" w:rsidRPr="007931B2" w:rsidRDefault="00253388" w:rsidP="002533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53388" w:rsidRPr="007931B2" w:rsidRDefault="00253388" w:rsidP="0025338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253388" w:rsidRPr="007931B2" w:rsidRDefault="00253388" w:rsidP="00253388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3.1.</w:t>
      </w:r>
      <w:r w:rsidRPr="007931B2">
        <w:rPr>
          <w:sz w:val="22"/>
          <w:szCs w:val="22"/>
        </w:rPr>
        <w:t xml:space="preserve"> Возобновить действие </w:t>
      </w:r>
      <w:r>
        <w:rPr>
          <w:sz w:val="22"/>
          <w:szCs w:val="22"/>
        </w:rPr>
        <w:t xml:space="preserve">свидетельства </w:t>
      </w:r>
      <w:r w:rsidRPr="00253388">
        <w:rPr>
          <w:sz w:val="22"/>
          <w:szCs w:val="22"/>
        </w:rPr>
        <w:t>№ 0096.03-2013-7715685820-С-207 от 21.01.2013г.</w:t>
      </w:r>
      <w:r>
        <w:rPr>
          <w:sz w:val="22"/>
          <w:szCs w:val="22"/>
        </w:rPr>
        <w:t xml:space="preserve">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Мегастрой</w:t>
      </w:r>
      <w:proofErr w:type="spellEnd"/>
      <w:r w:rsidRPr="00FA687D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931B2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>.</w:t>
      </w:r>
    </w:p>
    <w:p w:rsidR="00253388" w:rsidRPr="007931B2" w:rsidRDefault="00253388" w:rsidP="00253388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3.2.</w:t>
      </w:r>
      <w:r w:rsidRPr="007931B2">
        <w:rPr>
          <w:sz w:val="22"/>
          <w:szCs w:val="22"/>
        </w:rPr>
        <w:t xml:space="preserve"> Уведомить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Мегастрой</w:t>
      </w:r>
      <w:proofErr w:type="spellEnd"/>
      <w:r w:rsidRPr="00FA687D">
        <w:rPr>
          <w:sz w:val="22"/>
          <w:szCs w:val="22"/>
        </w:rPr>
        <w:t>»</w:t>
      </w:r>
      <w:r w:rsidRPr="007931B2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253388" w:rsidRDefault="00253388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C264AB" w:rsidRPr="00201DB7" w:rsidRDefault="00FA687D" w:rsidP="00C264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C264AB" w:rsidRPr="00201DB7">
        <w:rPr>
          <w:b/>
          <w:i/>
          <w:sz w:val="22"/>
          <w:szCs w:val="22"/>
        </w:rPr>
        <w:t xml:space="preserve">По  </w:t>
      </w:r>
      <w:r w:rsidR="00253388">
        <w:rPr>
          <w:b/>
          <w:i/>
          <w:sz w:val="22"/>
          <w:szCs w:val="22"/>
        </w:rPr>
        <w:t>четвертому</w:t>
      </w:r>
      <w:r w:rsidR="00C264AB">
        <w:rPr>
          <w:b/>
          <w:i/>
          <w:sz w:val="22"/>
          <w:szCs w:val="22"/>
        </w:rPr>
        <w:t xml:space="preserve"> </w:t>
      </w:r>
      <w:r w:rsidR="00C264AB" w:rsidRPr="00201DB7">
        <w:rPr>
          <w:b/>
          <w:i/>
          <w:sz w:val="22"/>
          <w:szCs w:val="22"/>
        </w:rPr>
        <w:t>вопросу повестки дня</w:t>
      </w:r>
    </w:p>
    <w:p w:rsidR="00530FDD" w:rsidRDefault="00C264AB" w:rsidP="00530FD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530FDD" w:rsidRPr="00F13977">
        <w:rPr>
          <w:b/>
          <w:sz w:val="22"/>
          <w:szCs w:val="22"/>
        </w:rPr>
        <w:t>Слушали:</w:t>
      </w:r>
    </w:p>
    <w:p w:rsidR="00530FDD" w:rsidRPr="0077019A" w:rsidRDefault="00530FDD" w:rsidP="00530FD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Водотеплотех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530FDD">
        <w:rPr>
          <w:sz w:val="22"/>
          <w:szCs w:val="22"/>
        </w:rPr>
        <w:t>ИНН 5025021731 / ОГРН 1055009303997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530FDD">
        <w:rPr>
          <w:sz w:val="22"/>
          <w:szCs w:val="22"/>
        </w:rPr>
        <w:t xml:space="preserve">№ 0015.03-2012-5025021731-С-207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06.12.2012г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>со сменой наименования СРО.</w:t>
      </w:r>
    </w:p>
    <w:p w:rsidR="00530FDD" w:rsidRPr="0077019A" w:rsidRDefault="00530FDD" w:rsidP="00530FD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19.11.2015г. </w:t>
      </w:r>
      <w:r w:rsidRPr="00530FDD">
        <w:rPr>
          <w:sz w:val="22"/>
          <w:szCs w:val="22"/>
        </w:rPr>
        <w:t>ООО «</w:t>
      </w:r>
      <w:proofErr w:type="spellStart"/>
      <w:r w:rsidRPr="00530FDD">
        <w:rPr>
          <w:sz w:val="22"/>
          <w:szCs w:val="22"/>
        </w:rPr>
        <w:t>Водотеплотех</w:t>
      </w:r>
      <w:proofErr w:type="spellEnd"/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530FDD" w:rsidRPr="0077019A" w:rsidRDefault="00530FDD" w:rsidP="00530F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530FDD" w:rsidRDefault="00530FDD" w:rsidP="00530FD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30FDD" w:rsidRPr="0077019A" w:rsidRDefault="00530FDD" w:rsidP="00530FD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30FDD" w:rsidRPr="0077019A" w:rsidRDefault="00530FDD" w:rsidP="00530F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530FDD" w:rsidRPr="0077019A" w:rsidRDefault="00530FDD" w:rsidP="00530F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30FDD" w:rsidRPr="0077019A" w:rsidRDefault="00530FDD" w:rsidP="00530F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30FDD" w:rsidRDefault="00530FDD" w:rsidP="00530FD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B73EC" w:rsidRDefault="00530FDD" w:rsidP="00530F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proofErr w:type="spellStart"/>
      <w:r w:rsidRPr="00530FDD">
        <w:rPr>
          <w:sz w:val="22"/>
          <w:szCs w:val="22"/>
        </w:rPr>
        <w:t>Водотеплотех</w:t>
      </w:r>
      <w:proofErr w:type="spellEnd"/>
      <w:r w:rsidRPr="00530FDD">
        <w:rPr>
          <w:sz w:val="22"/>
          <w:szCs w:val="22"/>
        </w:rPr>
        <w:t>»  (ИНН 5025021731 / ОГРН 1055009303997)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>
        <w:rPr>
          <w:sz w:val="22"/>
          <w:szCs w:val="22"/>
        </w:rPr>
        <w:t>0015.04</w:t>
      </w:r>
      <w:r w:rsidRPr="00530FDD">
        <w:rPr>
          <w:sz w:val="22"/>
          <w:szCs w:val="22"/>
        </w:rPr>
        <w:t>-2</w:t>
      </w:r>
      <w:r>
        <w:rPr>
          <w:sz w:val="22"/>
          <w:szCs w:val="22"/>
        </w:rPr>
        <w:t>015</w:t>
      </w:r>
      <w:r w:rsidRPr="00530FDD">
        <w:rPr>
          <w:sz w:val="22"/>
          <w:szCs w:val="22"/>
        </w:rPr>
        <w:t>-5025021731-С-207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530FDD">
        <w:rPr>
          <w:sz w:val="22"/>
          <w:szCs w:val="22"/>
        </w:rPr>
        <w:t>№ 0015.03-2012-5025021731-С-207 от 06.12.2012г.</w:t>
      </w:r>
    </w:p>
    <w:p w:rsidR="00530FDD" w:rsidRDefault="005409A3" w:rsidP="005409A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5409A3" w:rsidRPr="00201DB7" w:rsidRDefault="00530FDD" w:rsidP="005409A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253388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</w:t>
      </w:r>
      <w:r w:rsidR="005409A3" w:rsidRPr="00201DB7">
        <w:rPr>
          <w:b/>
          <w:i/>
          <w:sz w:val="22"/>
          <w:szCs w:val="22"/>
        </w:rPr>
        <w:t xml:space="preserve">По  </w:t>
      </w:r>
      <w:r w:rsidR="00253388">
        <w:rPr>
          <w:b/>
          <w:i/>
          <w:sz w:val="22"/>
          <w:szCs w:val="22"/>
        </w:rPr>
        <w:t>пятому</w:t>
      </w:r>
      <w:r w:rsidR="005409A3">
        <w:rPr>
          <w:b/>
          <w:i/>
          <w:sz w:val="22"/>
          <w:szCs w:val="22"/>
        </w:rPr>
        <w:t xml:space="preserve"> </w:t>
      </w:r>
      <w:r w:rsidR="005409A3" w:rsidRPr="00201DB7">
        <w:rPr>
          <w:b/>
          <w:i/>
          <w:sz w:val="22"/>
          <w:szCs w:val="22"/>
        </w:rPr>
        <w:t>вопросу повестки дня</w:t>
      </w:r>
    </w:p>
    <w:p w:rsidR="00530FDD" w:rsidRDefault="005409A3" w:rsidP="00530FD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530FDD" w:rsidRPr="00F13977">
        <w:rPr>
          <w:b/>
          <w:sz w:val="22"/>
          <w:szCs w:val="22"/>
        </w:rPr>
        <w:t>Слушали:</w:t>
      </w:r>
    </w:p>
    <w:p w:rsidR="00530FDD" w:rsidRPr="0077019A" w:rsidRDefault="00530FDD" w:rsidP="00530FD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 xml:space="preserve">ООО «НПК </w:t>
      </w:r>
      <w:proofErr w:type="spellStart"/>
      <w:r>
        <w:rPr>
          <w:sz w:val="22"/>
          <w:szCs w:val="22"/>
        </w:rPr>
        <w:t>Промир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530FDD">
        <w:rPr>
          <w:sz w:val="22"/>
          <w:szCs w:val="22"/>
        </w:rPr>
        <w:t>ИНН 7722616024 / ОГРН 1077757490458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530FDD">
        <w:rPr>
          <w:sz w:val="22"/>
          <w:szCs w:val="22"/>
        </w:rPr>
        <w:t xml:space="preserve">№ </w:t>
      </w:r>
      <w:r w:rsidR="00FA687D" w:rsidRPr="00FA687D">
        <w:rPr>
          <w:sz w:val="22"/>
          <w:szCs w:val="22"/>
        </w:rPr>
        <w:t xml:space="preserve"> 0053.02-2012-7722616024-С-207</w:t>
      </w:r>
      <w:r w:rsidR="00FA687D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06.12.2012г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>со сменой наименования СРО.</w:t>
      </w:r>
    </w:p>
    <w:p w:rsidR="00530FDD" w:rsidRPr="0077019A" w:rsidRDefault="00530FDD" w:rsidP="00530FD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19.11.2015г. </w:t>
      </w:r>
      <w:r w:rsidRPr="00530FDD">
        <w:rPr>
          <w:sz w:val="22"/>
          <w:szCs w:val="22"/>
        </w:rPr>
        <w:t>ООО «</w:t>
      </w:r>
      <w:r w:rsidR="00FA687D">
        <w:rPr>
          <w:sz w:val="22"/>
          <w:szCs w:val="22"/>
        </w:rPr>
        <w:t xml:space="preserve">НПК </w:t>
      </w:r>
      <w:proofErr w:type="spellStart"/>
      <w:r w:rsidR="00FA687D">
        <w:rPr>
          <w:sz w:val="22"/>
          <w:szCs w:val="22"/>
        </w:rPr>
        <w:t>Промир</w:t>
      </w:r>
      <w:proofErr w:type="spellEnd"/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530FDD" w:rsidRPr="0077019A" w:rsidRDefault="00530FDD" w:rsidP="00530F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530FDD" w:rsidRPr="0077019A" w:rsidRDefault="00530FDD" w:rsidP="00530FD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</w:t>
      </w:r>
      <w:r w:rsidRPr="0077019A">
        <w:rPr>
          <w:b/>
          <w:sz w:val="22"/>
          <w:szCs w:val="22"/>
        </w:rPr>
        <w:t xml:space="preserve">Голосовали: </w:t>
      </w:r>
    </w:p>
    <w:p w:rsidR="00530FDD" w:rsidRPr="0077019A" w:rsidRDefault="00530FDD" w:rsidP="00530F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530FDD" w:rsidRPr="0077019A" w:rsidRDefault="00530FDD" w:rsidP="00530F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30FDD" w:rsidRPr="0077019A" w:rsidRDefault="00530FDD" w:rsidP="00530F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30FDD" w:rsidRDefault="00530FDD" w:rsidP="00530FD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30FDD" w:rsidRDefault="00530FDD" w:rsidP="00530F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 w:rsidR="00FA687D">
        <w:rPr>
          <w:sz w:val="22"/>
          <w:szCs w:val="22"/>
        </w:rPr>
        <w:t xml:space="preserve">НПК </w:t>
      </w:r>
      <w:proofErr w:type="spellStart"/>
      <w:r w:rsidR="00FA687D">
        <w:rPr>
          <w:sz w:val="22"/>
          <w:szCs w:val="22"/>
        </w:rPr>
        <w:t>Промир</w:t>
      </w:r>
      <w:proofErr w:type="spellEnd"/>
      <w:r w:rsidR="00FA687D">
        <w:rPr>
          <w:sz w:val="22"/>
          <w:szCs w:val="22"/>
        </w:rPr>
        <w:t xml:space="preserve">» </w:t>
      </w:r>
      <w:r w:rsidR="00FA687D" w:rsidRPr="0077019A">
        <w:rPr>
          <w:sz w:val="22"/>
          <w:szCs w:val="22"/>
        </w:rPr>
        <w:t xml:space="preserve"> (</w:t>
      </w:r>
      <w:r w:rsidR="00FA687D" w:rsidRPr="00530FDD">
        <w:rPr>
          <w:sz w:val="22"/>
          <w:szCs w:val="22"/>
        </w:rPr>
        <w:t>ИНН 7722616024 / ОГРН 1077757490458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="00FA687D">
        <w:rPr>
          <w:sz w:val="22"/>
          <w:szCs w:val="22"/>
        </w:rPr>
        <w:t>0053.03</w:t>
      </w:r>
      <w:r w:rsidR="00FA687D" w:rsidRPr="00FA687D">
        <w:rPr>
          <w:sz w:val="22"/>
          <w:szCs w:val="22"/>
        </w:rPr>
        <w:t>-2</w:t>
      </w:r>
      <w:r w:rsidR="00FA687D">
        <w:rPr>
          <w:sz w:val="22"/>
          <w:szCs w:val="22"/>
        </w:rPr>
        <w:t>015</w:t>
      </w:r>
      <w:r w:rsidR="00FA687D" w:rsidRPr="00FA687D">
        <w:rPr>
          <w:sz w:val="22"/>
          <w:szCs w:val="22"/>
        </w:rPr>
        <w:t>-7722616024-С-207</w:t>
      </w:r>
      <w:r w:rsidRPr="0077019A">
        <w:rPr>
          <w:sz w:val="22"/>
          <w:szCs w:val="22"/>
        </w:rPr>
        <w:t xml:space="preserve">взамен ранее выданного </w:t>
      </w:r>
      <w:r w:rsidR="00FA687D" w:rsidRPr="00FA687D">
        <w:rPr>
          <w:sz w:val="22"/>
          <w:szCs w:val="22"/>
        </w:rPr>
        <w:t>№ 0053.02-2012-7722616024-С-207</w:t>
      </w:r>
      <w:r w:rsidR="00FA687D">
        <w:rPr>
          <w:sz w:val="22"/>
          <w:szCs w:val="22"/>
        </w:rPr>
        <w:t xml:space="preserve"> </w:t>
      </w:r>
      <w:r w:rsidRPr="00530FDD">
        <w:rPr>
          <w:sz w:val="22"/>
          <w:szCs w:val="22"/>
        </w:rPr>
        <w:t>от 06.12.2012г.</w:t>
      </w:r>
    </w:p>
    <w:p w:rsidR="004B4E04" w:rsidRDefault="004B4E04" w:rsidP="004B4E0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B4E04" w:rsidRPr="00201DB7" w:rsidRDefault="004B4E04" w:rsidP="004B4E0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шестому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4B4E04" w:rsidRDefault="004B4E04" w:rsidP="004B4E0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4B4E04" w:rsidRDefault="004B4E04" w:rsidP="004B4E0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>ООО «</w:t>
      </w:r>
      <w:proofErr w:type="spellStart"/>
      <w:r w:rsidRPr="004B4E04">
        <w:rPr>
          <w:sz w:val="22"/>
          <w:szCs w:val="22"/>
        </w:rPr>
        <w:t>Трауберг</w:t>
      </w:r>
      <w:proofErr w:type="spellEnd"/>
      <w:r w:rsidRPr="004B4E04">
        <w:rPr>
          <w:sz w:val="22"/>
          <w:szCs w:val="22"/>
        </w:rPr>
        <w:t xml:space="preserve"> </w:t>
      </w:r>
      <w:proofErr w:type="spellStart"/>
      <w:r w:rsidRPr="004B4E04">
        <w:rPr>
          <w:sz w:val="22"/>
          <w:szCs w:val="22"/>
        </w:rPr>
        <w:t>констракшн</w:t>
      </w:r>
      <w:proofErr w:type="spellEnd"/>
      <w:r w:rsidRPr="004B4E04">
        <w:rPr>
          <w:sz w:val="22"/>
          <w:szCs w:val="22"/>
        </w:rPr>
        <w:t>» (ИНН 5038107961/ ОГРН 1145038006981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4B4E04">
        <w:rPr>
          <w:sz w:val="22"/>
          <w:szCs w:val="22"/>
        </w:rPr>
        <w:t>№ 0167.01-2014-5038107961-С-207 от 25.11.201</w:t>
      </w:r>
      <w:r>
        <w:rPr>
          <w:sz w:val="22"/>
          <w:szCs w:val="22"/>
        </w:rPr>
        <w:t>4</w:t>
      </w:r>
      <w:r w:rsidRPr="004B4E04">
        <w:rPr>
          <w:sz w:val="22"/>
          <w:szCs w:val="22"/>
        </w:rPr>
        <w:t>г.</w:t>
      </w:r>
    </w:p>
    <w:p w:rsidR="004B4E04" w:rsidRPr="0054122B" w:rsidRDefault="004B4E04" w:rsidP="004B4E0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4B4E04" w:rsidRPr="0054122B" w:rsidRDefault="004B4E04" w:rsidP="004B4E0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4B4E04" w:rsidRDefault="004B4E04" w:rsidP="004B4E0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 w:rsidRPr="004B4E04">
        <w:rPr>
          <w:sz w:val="22"/>
          <w:szCs w:val="22"/>
        </w:rPr>
        <w:t>Трауберг</w:t>
      </w:r>
      <w:proofErr w:type="spellEnd"/>
      <w:r w:rsidRPr="004B4E04">
        <w:rPr>
          <w:sz w:val="22"/>
          <w:szCs w:val="22"/>
        </w:rPr>
        <w:t xml:space="preserve"> </w:t>
      </w:r>
      <w:proofErr w:type="spellStart"/>
      <w:r w:rsidRPr="004B4E04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» </w:t>
      </w:r>
      <w:r w:rsidRPr="004B4E04">
        <w:rPr>
          <w:sz w:val="22"/>
          <w:szCs w:val="22"/>
        </w:rPr>
        <w:t>№ 0167.01-2014-5038107961-С-207 от 25.11.2013г.</w:t>
      </w:r>
    </w:p>
    <w:p w:rsidR="004B4E04" w:rsidRDefault="004B4E04" w:rsidP="004B4E04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4B4E04" w:rsidRPr="004F465B" w:rsidRDefault="004B4E04" w:rsidP="004B4E0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4B4E04" w:rsidRPr="004F465B" w:rsidRDefault="004B4E04" w:rsidP="004B4E0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4B4E04" w:rsidRPr="004F465B" w:rsidRDefault="004B4E04" w:rsidP="004B4E0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4B4E04" w:rsidRPr="004F465B" w:rsidRDefault="004B4E04" w:rsidP="004B4E0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4B4E04" w:rsidRDefault="004B4E04" w:rsidP="004B4E0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4B4E04" w:rsidRDefault="004B4E04" w:rsidP="004B4E0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4B4E04" w:rsidRPr="004B4E04" w:rsidRDefault="004B4E04" w:rsidP="007418F4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4B4E04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Pr="004B4E04">
        <w:rPr>
          <w:sz w:val="22"/>
          <w:szCs w:val="22"/>
        </w:rPr>
        <w:t>№ 0167.01-2014-5038107961-С-207 от 25.11.201</w:t>
      </w:r>
      <w:r>
        <w:rPr>
          <w:sz w:val="22"/>
          <w:szCs w:val="22"/>
        </w:rPr>
        <w:t>4</w:t>
      </w:r>
      <w:r w:rsidRPr="004B4E04">
        <w:rPr>
          <w:sz w:val="22"/>
          <w:szCs w:val="22"/>
        </w:rPr>
        <w:t xml:space="preserve">г. </w:t>
      </w:r>
      <w:r w:rsidRPr="004B4E04">
        <w:rPr>
          <w:sz w:val="22"/>
          <w:szCs w:val="22"/>
        </w:rPr>
        <w:t>о допуске ООО «</w:t>
      </w:r>
      <w:proofErr w:type="spellStart"/>
      <w:r w:rsidRPr="004B4E04">
        <w:rPr>
          <w:sz w:val="22"/>
          <w:szCs w:val="22"/>
        </w:rPr>
        <w:t>Трауберг</w:t>
      </w:r>
      <w:proofErr w:type="spellEnd"/>
      <w:r w:rsidRPr="004B4E04">
        <w:rPr>
          <w:sz w:val="22"/>
          <w:szCs w:val="22"/>
        </w:rPr>
        <w:t xml:space="preserve"> </w:t>
      </w:r>
      <w:proofErr w:type="spellStart"/>
      <w:r w:rsidRPr="004B4E04">
        <w:rPr>
          <w:sz w:val="22"/>
          <w:szCs w:val="22"/>
        </w:rPr>
        <w:t>констракшн</w:t>
      </w:r>
      <w:proofErr w:type="spellEnd"/>
      <w:r w:rsidRPr="004B4E04">
        <w:rPr>
          <w:sz w:val="22"/>
          <w:szCs w:val="22"/>
        </w:rPr>
        <w:t>» (ИНН 5038107961/ ОГРН 1145038006981)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</w:t>
      </w:r>
      <w:proofErr w:type="gramEnd"/>
      <w:r w:rsidRPr="004B4E04">
        <w:rPr>
          <w:sz w:val="22"/>
          <w:szCs w:val="22"/>
        </w:rPr>
        <w:t xml:space="preserve"> Градостроительного кодекса РФ.</w:t>
      </w:r>
    </w:p>
    <w:p w:rsidR="004B4E04" w:rsidRPr="004B4E04" w:rsidRDefault="004B4E04" w:rsidP="007418F4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4B4E04">
        <w:rPr>
          <w:sz w:val="22"/>
          <w:szCs w:val="22"/>
        </w:rPr>
        <w:t xml:space="preserve">Сведения о приостановлении действия свидетельства </w:t>
      </w:r>
      <w:r w:rsidRPr="004B4E04">
        <w:rPr>
          <w:sz w:val="22"/>
          <w:szCs w:val="22"/>
        </w:rPr>
        <w:t>№ 0167.01-2014-5038107961-С-207 от 25.11.201</w:t>
      </w:r>
      <w:r>
        <w:rPr>
          <w:sz w:val="22"/>
          <w:szCs w:val="22"/>
        </w:rPr>
        <w:t>4</w:t>
      </w:r>
      <w:r w:rsidRPr="004B4E04">
        <w:rPr>
          <w:sz w:val="22"/>
          <w:szCs w:val="22"/>
        </w:rPr>
        <w:t xml:space="preserve">г. </w:t>
      </w:r>
      <w:r w:rsidRPr="004B4E04">
        <w:rPr>
          <w:sz w:val="22"/>
          <w:szCs w:val="22"/>
        </w:rPr>
        <w:t xml:space="preserve">  о допуске ООО «</w:t>
      </w:r>
      <w:proofErr w:type="spellStart"/>
      <w:r w:rsidRPr="004B4E04">
        <w:rPr>
          <w:sz w:val="22"/>
          <w:szCs w:val="22"/>
        </w:rPr>
        <w:t>Трауберг</w:t>
      </w:r>
      <w:proofErr w:type="spellEnd"/>
      <w:r w:rsidRPr="004B4E04">
        <w:rPr>
          <w:sz w:val="22"/>
          <w:szCs w:val="22"/>
        </w:rPr>
        <w:t xml:space="preserve"> </w:t>
      </w:r>
      <w:proofErr w:type="spellStart"/>
      <w:r w:rsidRPr="004B4E04">
        <w:rPr>
          <w:sz w:val="22"/>
          <w:szCs w:val="22"/>
        </w:rPr>
        <w:t>констракшн</w:t>
      </w:r>
      <w:proofErr w:type="spellEnd"/>
      <w:r w:rsidRPr="004B4E04">
        <w:rPr>
          <w:sz w:val="22"/>
          <w:szCs w:val="22"/>
        </w:rPr>
        <w:t>»  внести в реестр членов Союза.</w:t>
      </w:r>
    </w:p>
    <w:p w:rsidR="004B4E04" w:rsidRPr="00A272D0" w:rsidRDefault="004B4E04" w:rsidP="007418F4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Уведомить ООО «</w:t>
      </w:r>
      <w:proofErr w:type="spellStart"/>
      <w:r w:rsidRPr="004B4E04">
        <w:rPr>
          <w:sz w:val="22"/>
          <w:szCs w:val="22"/>
        </w:rPr>
        <w:t>Трауберг</w:t>
      </w:r>
      <w:proofErr w:type="spellEnd"/>
      <w:r w:rsidRPr="004B4E04">
        <w:rPr>
          <w:sz w:val="22"/>
          <w:szCs w:val="22"/>
        </w:rPr>
        <w:t xml:space="preserve"> </w:t>
      </w:r>
      <w:proofErr w:type="spellStart"/>
      <w:r w:rsidRPr="004B4E04">
        <w:rPr>
          <w:sz w:val="22"/>
          <w:szCs w:val="22"/>
        </w:rPr>
        <w:t>констракшн</w:t>
      </w:r>
      <w:proofErr w:type="spellEnd"/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4B4E04" w:rsidRPr="00A272D0" w:rsidRDefault="004B4E04" w:rsidP="007418F4">
      <w:pPr>
        <w:pStyle w:val="a3"/>
        <w:numPr>
          <w:ilvl w:val="1"/>
          <w:numId w:val="2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5409A3" w:rsidRPr="00A272D0" w:rsidRDefault="005409A3" w:rsidP="00530FDD">
      <w:pPr>
        <w:tabs>
          <w:tab w:val="left" w:pos="900"/>
        </w:tabs>
        <w:jc w:val="both"/>
        <w:rPr>
          <w:sz w:val="22"/>
          <w:szCs w:val="22"/>
        </w:rPr>
      </w:pPr>
    </w:p>
    <w:p w:rsidR="004B4E04" w:rsidRDefault="004B4E04" w:rsidP="004B4E04">
      <w:pPr>
        <w:tabs>
          <w:tab w:val="left" w:pos="900"/>
        </w:tabs>
        <w:ind w:left="360"/>
        <w:jc w:val="both"/>
        <w:rPr>
          <w:b/>
          <w:i/>
          <w:sz w:val="22"/>
          <w:szCs w:val="22"/>
        </w:rPr>
      </w:pPr>
    </w:p>
    <w:p w:rsidR="005546D4" w:rsidRPr="00201DB7" w:rsidRDefault="004B4E04" w:rsidP="005546D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546D4">
        <w:rPr>
          <w:b/>
          <w:i/>
          <w:sz w:val="22"/>
          <w:szCs w:val="22"/>
        </w:rPr>
        <w:t xml:space="preserve"> </w:t>
      </w:r>
      <w:r w:rsidR="005546D4"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седьмому</w:t>
      </w:r>
      <w:r w:rsidR="005546D4">
        <w:rPr>
          <w:b/>
          <w:i/>
          <w:sz w:val="22"/>
          <w:szCs w:val="22"/>
        </w:rPr>
        <w:t xml:space="preserve"> </w:t>
      </w:r>
      <w:r w:rsidR="005546D4" w:rsidRPr="00201DB7">
        <w:rPr>
          <w:b/>
          <w:i/>
          <w:sz w:val="22"/>
          <w:szCs w:val="22"/>
        </w:rPr>
        <w:t>вопросу повестки дня</w:t>
      </w:r>
    </w:p>
    <w:p w:rsidR="005546D4" w:rsidRPr="00216D3A" w:rsidRDefault="005546D4" w:rsidP="005546D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5546D4" w:rsidRPr="007C2C36" w:rsidRDefault="005546D4" w:rsidP="005546D4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 xml:space="preserve">ть заявление о принятии в члены ООО «ДЛ </w:t>
      </w:r>
      <w:proofErr w:type="spellStart"/>
      <w:r>
        <w:rPr>
          <w:sz w:val="22"/>
          <w:szCs w:val="22"/>
        </w:rPr>
        <w:t>Проджект</w:t>
      </w:r>
      <w:proofErr w:type="spellEnd"/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Pr="005546D4">
        <w:rPr>
          <w:sz w:val="22"/>
          <w:szCs w:val="22"/>
        </w:rPr>
        <w:t>7716796869</w:t>
      </w:r>
      <w:r>
        <w:rPr>
          <w:sz w:val="22"/>
          <w:szCs w:val="22"/>
        </w:rPr>
        <w:t xml:space="preserve">, ОГРН </w:t>
      </w:r>
      <w:r w:rsidRPr="005546D4">
        <w:rPr>
          <w:sz w:val="22"/>
          <w:szCs w:val="22"/>
        </w:rPr>
        <w:t>1157746536199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546D4" w:rsidRPr="007C2C36" w:rsidRDefault="005546D4" w:rsidP="005546D4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 w:rsidRPr="005546D4">
        <w:rPr>
          <w:sz w:val="22"/>
          <w:szCs w:val="22"/>
        </w:rPr>
        <w:t xml:space="preserve">ДЛ </w:t>
      </w:r>
      <w:proofErr w:type="spellStart"/>
      <w:r w:rsidRPr="005546D4">
        <w:rPr>
          <w:sz w:val="22"/>
          <w:szCs w:val="22"/>
        </w:rPr>
        <w:t>Проджект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 w:rsidRPr="005546D4">
        <w:rPr>
          <w:sz w:val="22"/>
          <w:szCs w:val="22"/>
        </w:rPr>
        <w:t xml:space="preserve">ДЛ </w:t>
      </w:r>
      <w:proofErr w:type="spellStart"/>
      <w:r w:rsidRPr="005546D4">
        <w:rPr>
          <w:sz w:val="22"/>
          <w:szCs w:val="22"/>
        </w:rPr>
        <w:t>Проджект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 w:rsidRPr="005546D4">
        <w:rPr>
          <w:sz w:val="22"/>
          <w:szCs w:val="22"/>
        </w:rPr>
        <w:t xml:space="preserve">ДЛ </w:t>
      </w:r>
      <w:proofErr w:type="spellStart"/>
      <w:r w:rsidRPr="005546D4">
        <w:rPr>
          <w:sz w:val="22"/>
          <w:szCs w:val="22"/>
        </w:rPr>
        <w:t>Проджект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r w:rsidRPr="005546D4">
        <w:rPr>
          <w:sz w:val="22"/>
          <w:szCs w:val="22"/>
        </w:rPr>
        <w:t xml:space="preserve">ДЛ </w:t>
      </w:r>
      <w:proofErr w:type="spellStart"/>
      <w:r w:rsidRPr="005546D4">
        <w:rPr>
          <w:sz w:val="22"/>
          <w:szCs w:val="22"/>
        </w:rPr>
        <w:t>Проджект</w:t>
      </w:r>
      <w:proofErr w:type="spellEnd"/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5546D4" w:rsidRDefault="005546D4" w:rsidP="005546D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546D4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5546D4" w:rsidRDefault="005546D4" w:rsidP="005546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 w:rsidRPr="005546D4">
        <w:rPr>
          <w:sz w:val="22"/>
          <w:szCs w:val="22"/>
        </w:rPr>
        <w:t xml:space="preserve">ДЛ </w:t>
      </w:r>
      <w:proofErr w:type="spellStart"/>
      <w:r w:rsidRPr="005546D4">
        <w:rPr>
          <w:sz w:val="22"/>
          <w:szCs w:val="22"/>
        </w:rPr>
        <w:t>Проджект</w:t>
      </w:r>
      <w:proofErr w:type="spellEnd"/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Pr="005546D4">
        <w:rPr>
          <w:sz w:val="22"/>
          <w:szCs w:val="22"/>
        </w:rPr>
        <w:t>ИНН 7716796869, ОГРН 1157746536199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Pr="005546D4">
        <w:rPr>
          <w:sz w:val="22"/>
          <w:szCs w:val="22"/>
        </w:rPr>
        <w:t xml:space="preserve">ДЛ </w:t>
      </w:r>
      <w:proofErr w:type="spellStart"/>
      <w:r w:rsidRPr="005546D4">
        <w:rPr>
          <w:sz w:val="22"/>
          <w:szCs w:val="22"/>
        </w:rPr>
        <w:t>Проджект</w:t>
      </w:r>
      <w:proofErr w:type="spellEnd"/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Pr="003D5BD0">
        <w:rPr>
          <w:sz w:val="22"/>
          <w:szCs w:val="22"/>
        </w:rPr>
        <w:t>01</w:t>
      </w:r>
      <w:r>
        <w:rPr>
          <w:sz w:val="22"/>
          <w:szCs w:val="22"/>
        </w:rPr>
        <w:t>81</w:t>
      </w:r>
      <w:r w:rsidRPr="003D5BD0">
        <w:rPr>
          <w:sz w:val="22"/>
          <w:szCs w:val="22"/>
        </w:rPr>
        <w:t>.01-2015-</w:t>
      </w:r>
      <w:r w:rsidRPr="005546D4">
        <w:rPr>
          <w:sz w:val="22"/>
          <w:szCs w:val="22"/>
        </w:rPr>
        <w:t>7716796869</w:t>
      </w:r>
      <w:r w:rsidRPr="003D5BD0">
        <w:rPr>
          <w:sz w:val="22"/>
          <w:szCs w:val="22"/>
        </w:rPr>
        <w:t>-С-207</w:t>
      </w:r>
      <w:r>
        <w:rPr>
          <w:sz w:val="22"/>
          <w:szCs w:val="22"/>
        </w:rPr>
        <w:t xml:space="preserve"> </w:t>
      </w:r>
    </w:p>
    <w:p w:rsidR="00C264AB" w:rsidRPr="00A272D0" w:rsidRDefault="00221152" w:rsidP="00C264A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B3C43">
        <w:rPr>
          <w:b/>
          <w:i/>
          <w:sz w:val="22"/>
          <w:szCs w:val="22"/>
        </w:rPr>
        <w:t xml:space="preserve">         </w:t>
      </w: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  <w:bookmarkStart w:id="0" w:name="_GoBack"/>
      <w:bookmarkEnd w:id="0"/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F4">
          <w:rPr>
            <w:noProof/>
          </w:rPr>
          <w:t>5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87A1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1</cp:lastModifiedBy>
  <cp:revision>4</cp:revision>
  <cp:lastPrinted>2015-11-18T07:38:00Z</cp:lastPrinted>
  <dcterms:created xsi:type="dcterms:W3CDTF">2015-11-18T05:47:00Z</dcterms:created>
  <dcterms:modified xsi:type="dcterms:W3CDTF">2015-11-19T09:14:00Z</dcterms:modified>
</cp:coreProperties>
</file>