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04" w:rsidRDefault="007F3B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B04" w:rsidRDefault="007F3B04">
      <w:pPr>
        <w:pStyle w:val="ConsPlusNormal"/>
        <w:ind w:firstLine="540"/>
        <w:jc w:val="both"/>
        <w:outlineLvl w:val="0"/>
      </w:pPr>
    </w:p>
    <w:p w:rsidR="007F3B04" w:rsidRDefault="007F3B04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7F3B04" w:rsidRDefault="007F3B04">
      <w:pPr>
        <w:pStyle w:val="ConsPlusTitle"/>
        <w:jc w:val="center"/>
      </w:pPr>
      <w:r>
        <w:t>И АТОМНОМУ НАДЗОРУ</w:t>
      </w:r>
    </w:p>
    <w:p w:rsidR="007F3B04" w:rsidRDefault="007F3B04">
      <w:pPr>
        <w:pStyle w:val="ConsPlusTitle"/>
        <w:jc w:val="center"/>
      </w:pPr>
    </w:p>
    <w:p w:rsidR="007F3B04" w:rsidRDefault="007F3B04">
      <w:pPr>
        <w:pStyle w:val="ConsPlusTitle"/>
        <w:jc w:val="center"/>
      </w:pPr>
      <w:r>
        <w:t>ПРИКАЗ</w:t>
      </w:r>
    </w:p>
    <w:p w:rsidR="007F3B04" w:rsidRDefault="007F3B04">
      <w:pPr>
        <w:pStyle w:val="ConsPlusTitle"/>
        <w:jc w:val="center"/>
      </w:pPr>
      <w:r>
        <w:t>от 12 июля 2010 г. N 591</w:t>
      </w:r>
    </w:p>
    <w:p w:rsidR="007F3B04" w:rsidRDefault="007F3B04">
      <w:pPr>
        <w:pStyle w:val="ConsPlusTitle"/>
        <w:jc w:val="center"/>
      </w:pPr>
    </w:p>
    <w:p w:rsidR="007F3B04" w:rsidRDefault="007F3B04">
      <w:pPr>
        <w:pStyle w:val="ConsPlusTitle"/>
        <w:jc w:val="center"/>
      </w:pPr>
      <w:r>
        <w:t>ОБ ОРГАНИЗАЦИИ РАБОТЫ</w:t>
      </w:r>
    </w:p>
    <w:p w:rsidR="007F3B04" w:rsidRDefault="007F3B04">
      <w:pPr>
        <w:pStyle w:val="ConsPlusTitle"/>
        <w:jc w:val="center"/>
      </w:pPr>
      <w:r>
        <w:t>АТТЕСТАЦИОННЫХ КОМИССИЙ ФЕДЕРАЛЬНОЙ СЛУЖБЫ</w:t>
      </w:r>
    </w:p>
    <w:p w:rsidR="007F3B04" w:rsidRDefault="007F3B04">
      <w:pPr>
        <w:pStyle w:val="ConsPlusTitle"/>
        <w:jc w:val="center"/>
      </w:pPr>
      <w:r>
        <w:t>ПО ЭКОЛОГИЧЕСКОМУ, ТЕХНОЛОГИЧЕСКОМУ</w:t>
      </w:r>
    </w:p>
    <w:p w:rsidR="007F3B04" w:rsidRDefault="007F3B04">
      <w:pPr>
        <w:pStyle w:val="ConsPlusTitle"/>
        <w:jc w:val="center"/>
      </w:pPr>
      <w:r>
        <w:t>И АТОМНОМУ НАДЗОРУ</w:t>
      </w:r>
    </w:p>
    <w:p w:rsidR="007F3B04" w:rsidRDefault="007F3B04">
      <w:pPr>
        <w:pStyle w:val="ConsPlusNormal"/>
        <w:jc w:val="center"/>
      </w:pPr>
    </w:p>
    <w:p w:rsidR="007F3B04" w:rsidRDefault="007F3B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Бюллетень нормативных актов федеральных органов исполнительной власти, 2007, N 16, N 31) приказываю: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работы аттестационных комиссий Федеральной службы по экологическому, технологическому и атомному надзору.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экологическому, технологическому и атомному надзору: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 xml:space="preserve">от 8 ноября 2007 г. </w:t>
      </w:r>
      <w:hyperlink r:id="rId6" w:history="1">
        <w:r>
          <w:rPr>
            <w:color w:val="0000FF"/>
          </w:rPr>
          <w:t>N 758</w:t>
        </w:r>
      </w:hyperlink>
      <w:r>
        <w:t xml:space="preserve"> "О формировании Центральной аттестационной комиссии и организации деятельности аттестационных комиссий Федеральной службы по экологическому, технологическому и атомному надзору" (признан не нуждающимся в государственной регистрации, письмо Министерства юстиции Российской Федерации от 29 ноября 2007 г. N 01/12337-АБ);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 xml:space="preserve">от 21 мая 2008 г. </w:t>
      </w:r>
      <w:hyperlink r:id="rId7" w:history="1">
        <w:r>
          <w:rPr>
            <w:color w:val="0000FF"/>
          </w:rPr>
          <w:t>N 342</w:t>
        </w:r>
      </w:hyperlink>
      <w:r>
        <w:t xml:space="preserve"> "О внесении изменений и дополнений в Приказ Федеральной службы по экологическому, технологическому и атомному надзору от 8 ноября 2007 г. N 758 "О формировании Центральной аттестационной комиссии и организации деятельности аттестационных комиссий Федеральной службы по экологическому, технологическому и атомному надзору".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right"/>
      </w:pPr>
      <w:r>
        <w:t>Руководитель</w:t>
      </w:r>
    </w:p>
    <w:p w:rsidR="007F3B04" w:rsidRDefault="007F3B04">
      <w:pPr>
        <w:pStyle w:val="ConsPlusNormal"/>
        <w:jc w:val="right"/>
      </w:pPr>
      <w:r>
        <w:t>Н.Г.КУТЬИН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right"/>
        <w:outlineLvl w:val="0"/>
      </w:pPr>
      <w:r>
        <w:t>Утверждено</w:t>
      </w:r>
    </w:p>
    <w:p w:rsidR="007F3B04" w:rsidRDefault="007F3B04">
      <w:pPr>
        <w:pStyle w:val="ConsPlusNormal"/>
        <w:jc w:val="right"/>
      </w:pPr>
      <w:r>
        <w:t>Приказом Федеральной службы</w:t>
      </w:r>
    </w:p>
    <w:p w:rsidR="007F3B04" w:rsidRDefault="007F3B04">
      <w:pPr>
        <w:pStyle w:val="ConsPlusNormal"/>
        <w:jc w:val="right"/>
      </w:pPr>
      <w:r>
        <w:t>по экологическому, технологическому</w:t>
      </w:r>
    </w:p>
    <w:p w:rsidR="007F3B04" w:rsidRDefault="007F3B04">
      <w:pPr>
        <w:pStyle w:val="ConsPlusNormal"/>
        <w:jc w:val="right"/>
      </w:pPr>
      <w:r>
        <w:t>и атомному надзору</w:t>
      </w:r>
    </w:p>
    <w:p w:rsidR="007F3B04" w:rsidRDefault="007F3B04">
      <w:pPr>
        <w:pStyle w:val="ConsPlusNormal"/>
        <w:jc w:val="right"/>
      </w:pPr>
      <w:r>
        <w:t>от 12 июля 2010 г. N 591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Title"/>
        <w:jc w:val="center"/>
      </w:pPr>
      <w:bookmarkStart w:id="0" w:name="P31"/>
      <w:bookmarkEnd w:id="0"/>
      <w:r>
        <w:t>ПОЛОЖЕНИЕ</w:t>
      </w:r>
    </w:p>
    <w:p w:rsidR="007F3B04" w:rsidRDefault="007F3B04">
      <w:pPr>
        <w:pStyle w:val="ConsPlusTitle"/>
        <w:jc w:val="center"/>
      </w:pPr>
      <w:r>
        <w:t>ОБ ОРГАНИЗАЦИИ РАБОТЫ АТТЕСТАЦИОННЫХ КОМИССИЙ ФЕДЕРАЛЬНОЙ</w:t>
      </w:r>
    </w:p>
    <w:p w:rsidR="007F3B04" w:rsidRDefault="007F3B04">
      <w:pPr>
        <w:pStyle w:val="ConsPlusTitle"/>
        <w:jc w:val="center"/>
      </w:pPr>
      <w:r>
        <w:t>СЛУЖБЫ ПО ЭКОЛОГИЧЕСКОМУ, ТЕХНОЛОГИЧЕСКОМУ</w:t>
      </w:r>
    </w:p>
    <w:p w:rsidR="007F3B04" w:rsidRDefault="007F3B04">
      <w:pPr>
        <w:pStyle w:val="ConsPlusTitle"/>
        <w:jc w:val="center"/>
      </w:pPr>
      <w:r>
        <w:lastRenderedPageBreak/>
        <w:t>И АТОМНОМУ НАДЗОРУ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  <w:outlineLvl w:val="1"/>
      </w:pPr>
      <w:r>
        <w:t>I. Общие положения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  <w:r>
        <w:t xml:space="preserve">1. Настоящее Положение определяет порядок работы аттестационных комиссий Федеральной службы по экологическому, технологическому и атомному надзору (Служба), создаваемых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Бюллетень нормативных актов федеральных органов исполнительной власти, 2007, N 16, N 31).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2. Для проведения аттестации руководителей и специалистов организаций на знание норм и правил требований промышленной, энергетической безопасности, безопасности гидротехнических сооружений, принятых в соответствии с действующим законодательством (аттестация), создаются: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в центральном аппарате Службы - центральная аттестационная комиссия (ЦАК);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в территориальных органах Службы - территориальные аттестационные комиссии (ТАК).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  <w:outlineLvl w:val="1"/>
      </w:pPr>
      <w:r>
        <w:t>II. Формирование аттестационных комиссий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  <w:r>
        <w:t>3. Возглавляет ЦАК руководитель Службы - Председатель ЦАК. На время отсутствия руководителя Службы (в связи с отпуском, командировкой, болезнью и другими обстоятельствами) или по его поручению полномочия, закрепленные за председателем ЦАК, исполняет заместитель руководителя Службы.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4. Состав ЦАК утверждается приказом руководителя Службы.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5. Организация деятельности ЦАК возлагается на Административное управление, которое формирует Секретариат ЦАК. Секретариат ЦАК осуществляет: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организацию и проведение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оформление, учет и хранение протоколов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оформление и учет удостоверений об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ведение реестра аттестованных лиц;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организацию контроля за деятельностью ТАК;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организацию рассмотрения жалоб и претензий по работе ТАК.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6. ТАК формируются приказом по соответствующему территориальному органу Службы. Возглавляют ТАК руководители территориальных органов Службы, которые своим приказом определяют заместителей руководителя ТАК из числа своих заместителей, обеспечивающих работу территориальных аттестационных комиссий в соответствующих субъектах Российской Федерации.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Секретариат ТАК осуществляет: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организацию и проведение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оформление, учет и хранение протоколов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оформление и учет удостоверений об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lastRenderedPageBreak/>
        <w:t>ведение реестра аттестованных лиц;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направление отчетов о деятельности ТАК в ЦАК.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  <w:outlineLvl w:val="1"/>
      </w:pPr>
      <w:r>
        <w:t>III. Функции аттестационных комиссий Службы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  <w:r>
        <w:t>7. К функциям аттестационных комиссий Службы относятся: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аттестация руководителей и специалистов организаций по вопросам, отнесенным к компетенции Службы;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организация и проведение внеочередной аттестации;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разработка рекомендаций по совершенствованию процесса аттестации в сфере деятельности Службы на основании результатов деятельности аттестационных комиссий;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рассмотрение и совершенствование тестов для проведения аттестации, утверждаемых Службой.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  <w:outlineLvl w:val="1"/>
      </w:pPr>
      <w:r>
        <w:t>IV. Организация работы аттестационных комиссий Службы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  <w:r>
        <w:t>8.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организаций, в которых работают аттестуемые.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9. Аттестационные комиссии Службы осуществляют контроль знаний аттестуемых в очной форме в помещениях, занимаемых Службой, с применением соответствующих программных средств и экзаменационных билетов (тестов).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Проверка знаний аттестуемых должна проводиться в присутствии не менее трех членов аттестационной комиссии.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10. Секретариат аттестационных комиссий информирует аттестуемого о дате, месте, времени проведения аттестации не позднее чем за 10 дней до даты проведения заседания аттестационной комиссии.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11. Секретариат соответствующей аттестационной комиссии осуществляет оформление документов об аттестации.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12.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13. Номер протокола содержит 3 группы цифр. Первая группа - код центрального аппарата или территориального органа Службы (структурного подразделения территориального органа в субъекте Российской Федерации); вторая группа - две последние цифры года выдачи удостоверения; третья группа - порядковый номер заседания аттестационной комиссии текущего года.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 xml:space="preserve">Коды (цифровые индексы) центрального аппарата и территориальных органов Службы приведены в </w:t>
      </w:r>
      <w:hyperlink w:anchor="P102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В номере удостоверения об аттестации указывается номер протокола и добавляется четвертая группа цифр - порядковый номер аттестуемого в протоколе.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14. Аттестованному, утратившему удостоверение об аттестации, аттестационной комиссией Службы выдается дубликат удостоверения об аттестации.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lastRenderedPageBreak/>
        <w:t>15. Аттестационные материалы хранятся в аттестационных комиссиях в течение пяти лет.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  <w:outlineLvl w:val="1"/>
      </w:pPr>
      <w:r>
        <w:t>V. Учет специалистов, аттестованных в комиссиях Службы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  <w:r>
        <w:t xml:space="preserve">16. Сведения о прошедших аттестацию в аттестационных комиссиях Службы </w:t>
      </w:r>
      <w:hyperlink w:anchor="P375" w:history="1">
        <w:r>
          <w:rPr>
            <w:color w:val="0000FF"/>
          </w:rPr>
          <w:t>(Приложение N 2)</w:t>
        </w:r>
      </w:hyperlink>
      <w:r>
        <w:t xml:space="preserve"> вносятся в базу данных Автоматизированной информационно-управляющей системы регулирования промышленной безопасности (АИС ПБ).</w:t>
      </w:r>
    </w:p>
    <w:p w:rsidR="007F3B04" w:rsidRDefault="007F3B04">
      <w:pPr>
        <w:pStyle w:val="ConsPlusNormal"/>
        <w:spacing w:before="220"/>
        <w:ind w:firstLine="540"/>
        <w:jc w:val="both"/>
      </w:pPr>
      <w:r>
        <w:t>17. Сведения передаются аттестационными комиссиями Службы в секретариат ЦАК на бумажном носителе и в электронном виде (CAC@gosnadzor.ru.).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right"/>
        <w:outlineLvl w:val="1"/>
      </w:pPr>
      <w:r>
        <w:t>Приложение N 1</w:t>
      </w:r>
    </w:p>
    <w:p w:rsidR="007F3B04" w:rsidRDefault="007F3B04">
      <w:pPr>
        <w:pStyle w:val="ConsPlusNormal"/>
        <w:jc w:val="right"/>
      </w:pPr>
      <w:r>
        <w:t>к Положению об организации работы</w:t>
      </w:r>
    </w:p>
    <w:p w:rsidR="007F3B04" w:rsidRDefault="007F3B04">
      <w:pPr>
        <w:pStyle w:val="ConsPlusNormal"/>
        <w:jc w:val="right"/>
      </w:pPr>
      <w:r>
        <w:t>аттестационных комиссий Федеральной</w:t>
      </w:r>
    </w:p>
    <w:p w:rsidR="007F3B04" w:rsidRDefault="007F3B04">
      <w:pPr>
        <w:pStyle w:val="ConsPlusNormal"/>
        <w:jc w:val="right"/>
      </w:pPr>
      <w:r>
        <w:t>службы по экологическому, технологическому</w:t>
      </w:r>
    </w:p>
    <w:p w:rsidR="007F3B04" w:rsidRDefault="007F3B04">
      <w:pPr>
        <w:pStyle w:val="ConsPlusNormal"/>
        <w:jc w:val="right"/>
      </w:pPr>
      <w:r>
        <w:t>и атомному надзору, утвержденному Приказом</w:t>
      </w:r>
    </w:p>
    <w:p w:rsidR="007F3B04" w:rsidRDefault="007F3B04">
      <w:pPr>
        <w:pStyle w:val="ConsPlusNormal"/>
        <w:jc w:val="right"/>
      </w:pPr>
      <w:r>
        <w:t>Федеральной службы по экологическому,</w:t>
      </w:r>
    </w:p>
    <w:p w:rsidR="007F3B04" w:rsidRDefault="007F3B04">
      <w:pPr>
        <w:pStyle w:val="ConsPlusNormal"/>
        <w:jc w:val="right"/>
      </w:pPr>
      <w:r>
        <w:t>технологическому и атомному надзору</w:t>
      </w:r>
    </w:p>
    <w:p w:rsidR="007F3B04" w:rsidRDefault="007F3B04">
      <w:pPr>
        <w:pStyle w:val="ConsPlusNormal"/>
        <w:jc w:val="right"/>
      </w:pPr>
      <w:r>
        <w:t>от 12 июля 2010 г. N 591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</w:pPr>
      <w:bookmarkStart w:id="1" w:name="P102"/>
      <w:bookmarkEnd w:id="1"/>
      <w:r>
        <w:t>КОДЫ (ЦИФРОВЫЕ ИНДЕКСЫ)</w:t>
      </w:r>
    </w:p>
    <w:p w:rsidR="007F3B04" w:rsidRDefault="007F3B04">
      <w:pPr>
        <w:pStyle w:val="ConsPlusNormal"/>
        <w:jc w:val="center"/>
      </w:pPr>
      <w:r>
        <w:t>ЦЕНТРАЛЬНОГО АППАРАТА И ТЕРРИТОРИАЛЬНЫХ ОРГАНОВ ФЕДЕРАЛЬНОЙ</w:t>
      </w:r>
    </w:p>
    <w:p w:rsidR="007F3B04" w:rsidRDefault="007F3B04">
      <w:pPr>
        <w:pStyle w:val="ConsPlusNormal"/>
        <w:jc w:val="center"/>
      </w:pPr>
      <w:r>
        <w:t>СЛУЖБЫ ПО ТЕХНОЛОГИЧЕСКОМУ, ЭКОЛОГИЧЕСКОМУ</w:t>
      </w:r>
    </w:p>
    <w:p w:rsidR="007F3B04" w:rsidRDefault="007F3B04">
      <w:pPr>
        <w:pStyle w:val="ConsPlusNormal"/>
        <w:jc w:val="center"/>
      </w:pPr>
      <w:r>
        <w:t>И АТОМНОМУ НАДЗОРУ</w:t>
      </w:r>
    </w:p>
    <w:p w:rsidR="007F3B04" w:rsidRDefault="007F3B0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5"/>
        <w:gridCol w:w="4732"/>
        <w:gridCol w:w="1001"/>
      </w:tblGrid>
      <w:tr w:rsidR="007F3B04">
        <w:trPr>
          <w:trHeight w:val="227"/>
        </w:trPr>
        <w:tc>
          <w:tcPr>
            <w:tcW w:w="455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</w:tcPr>
          <w:p w:rsidR="007F3B04" w:rsidRDefault="007F3B04">
            <w:pPr>
              <w:pStyle w:val="ConsPlusNonformat"/>
              <w:jc w:val="both"/>
            </w:pPr>
            <w:r>
              <w:t xml:space="preserve">Центральный аппарат                               </w:t>
            </w:r>
          </w:p>
        </w:tc>
        <w:tc>
          <w:tcPr>
            <w:tcW w:w="1001" w:type="dxa"/>
          </w:tcPr>
          <w:p w:rsidR="007F3B04" w:rsidRDefault="007F3B04">
            <w:pPr>
              <w:pStyle w:val="ConsPlusNonformat"/>
              <w:jc w:val="both"/>
            </w:pPr>
            <w:r>
              <w:t xml:space="preserve">00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Московское управление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г. Москва      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г. Норильск и прилегающие территории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Чукотский АО   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Центральное управление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Московская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Смоленская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Тверская область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Верхне-Донское управление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Воронежская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Липецкая область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Тамбовская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Курская область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Белгородская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Верхне-Волжское управление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Ярославская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Костромская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Ивановская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Владимирская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Приокское управление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Тульская область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Орловская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10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Калужская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Рязанская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Брянская область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08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Северо-Западное управление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г. Санкт-Петербург, Ленинградская область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Калининградская область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Псковская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Новгородская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Беломорское управление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Мурманская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Карелия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Печорское управление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Коми, Ненецкий АО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Северное управление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Вологодская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Архангельская область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Нижне-Донское управление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Ростовская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29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Северо-Кавказское управление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Краснодарский край, Республика Адыгея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Нижне-Волжское управление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Волгоградская область, Республика Калмыкия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Астраханская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Средне-Кавказское управление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Ставропольский край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Карачаево-Черкесская Республика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Северная Осетия - Алания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Кабардино-Балкарская Республика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Чеченская Республика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Дагестан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Ингушетия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31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Волжско-Окское управление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Нижегородская область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Мордовия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Западно-Уральское управление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Пермский край  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Удмуртская Республика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Кировская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Приуральское управление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Башкортостан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Оренбургская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Приволжское управление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Татарстан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Марий Эл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Чувашская Республика-Чувашия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44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Средне-Волжское управление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Саратовская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Пензенская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Средне-Поволжское управление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Самарская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Ульяновская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Уральское управление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Курганская область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Свердловская область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Челябинская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Северо-Уральское управление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Тюменская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Ханты-Мансийский АО - Югра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Ямало-Ненецкий АО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59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Западно-Сибирское управление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Новосибирская область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60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Омская область 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Томская область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Южно-Сибирское управление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Алтайский край 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Кемеровская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68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Забайкальское управление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Забайкальский край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69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Бурятия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Енисейское управление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Красноярский край, Республика Тыва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Хакасия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Прибайкальское управление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Иркутская область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67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Дальневосточное управление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Хабаровский край, Еврейская АО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Приморский край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Амурская область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Сахалинское управление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Сахалинская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77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Северо-Восточное управление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Магаданская область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Ленское управление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Республика Саха (Якутия)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Камчатское управление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Камчатский край        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75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Центральное межрегиональное управление по надзору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за ядерной и радиационной безопасностью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Центральный федеральный округ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81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Северо-Европейское межрегиональное управление     </w:t>
            </w:r>
          </w:p>
          <w:p w:rsidR="007F3B04" w:rsidRDefault="007F3B04">
            <w:pPr>
              <w:pStyle w:val="ConsPlusNonformat"/>
              <w:jc w:val="both"/>
            </w:pPr>
            <w:r>
              <w:t>по надзору за ядерной и радиационной безопасностью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Северо-Западный федеральный округ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82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Донское межрегиональное управление по надзору    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за ядерной и радиационной безопасностью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Южный федеральный округ 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83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Волжское межрегиональное управление по надзору   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за ядерной и радиационной безопасностью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Приволжский федеральный округ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84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Уральское межрегиональное управление по надзору  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за ядерной и радиационной безопасностью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Уральский федеральный округ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85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Сибирское межрегиональное управление по надзору  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за ядерной и радиационной безопасностью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Сибирский федеральный округ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86       </w:t>
            </w: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Дальневосточное межрегиональное управление по     </w:t>
            </w:r>
          </w:p>
          <w:p w:rsidR="007F3B04" w:rsidRDefault="007F3B04">
            <w:pPr>
              <w:pStyle w:val="ConsPlusNonformat"/>
              <w:jc w:val="both"/>
            </w:pPr>
            <w:r>
              <w:t xml:space="preserve">надзору за ядерной и радиационной </w:t>
            </w:r>
            <w:r>
              <w:lastRenderedPageBreak/>
              <w:t xml:space="preserve">безопасностью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73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Дальневосточный федеральный округ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t xml:space="preserve">87       </w:t>
            </w:r>
          </w:p>
        </w:tc>
      </w:tr>
    </w:tbl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right"/>
        <w:outlineLvl w:val="1"/>
      </w:pPr>
      <w:r>
        <w:t>Приложение N 2</w:t>
      </w:r>
    </w:p>
    <w:p w:rsidR="007F3B04" w:rsidRDefault="007F3B04">
      <w:pPr>
        <w:pStyle w:val="ConsPlusNormal"/>
        <w:jc w:val="right"/>
      </w:pPr>
      <w:r>
        <w:t>к Положению об организации работы</w:t>
      </w:r>
    </w:p>
    <w:p w:rsidR="007F3B04" w:rsidRDefault="007F3B04">
      <w:pPr>
        <w:pStyle w:val="ConsPlusNormal"/>
        <w:jc w:val="right"/>
      </w:pPr>
      <w:r>
        <w:t>аттестационных комиссий Федеральной</w:t>
      </w:r>
    </w:p>
    <w:p w:rsidR="007F3B04" w:rsidRDefault="007F3B04">
      <w:pPr>
        <w:pStyle w:val="ConsPlusNormal"/>
        <w:jc w:val="right"/>
      </w:pPr>
      <w:r>
        <w:t>службы по экологическому, технологическому</w:t>
      </w:r>
    </w:p>
    <w:p w:rsidR="007F3B04" w:rsidRDefault="007F3B04">
      <w:pPr>
        <w:pStyle w:val="ConsPlusNormal"/>
        <w:jc w:val="right"/>
      </w:pPr>
      <w:r>
        <w:t>и атомному надзору, утвержденному Приказом</w:t>
      </w:r>
    </w:p>
    <w:p w:rsidR="007F3B04" w:rsidRDefault="007F3B04">
      <w:pPr>
        <w:pStyle w:val="ConsPlusNormal"/>
        <w:jc w:val="right"/>
      </w:pPr>
      <w:r>
        <w:t>Федеральной службы по экологическому,</w:t>
      </w:r>
    </w:p>
    <w:p w:rsidR="007F3B04" w:rsidRDefault="007F3B04">
      <w:pPr>
        <w:pStyle w:val="ConsPlusNormal"/>
        <w:jc w:val="right"/>
      </w:pPr>
      <w:r>
        <w:t>технологическому и атомному надзору</w:t>
      </w:r>
    </w:p>
    <w:p w:rsidR="007F3B04" w:rsidRDefault="007F3B04">
      <w:pPr>
        <w:pStyle w:val="ConsPlusNormal"/>
        <w:jc w:val="right"/>
      </w:pPr>
      <w:r>
        <w:t>от 12 июля 2010 г. N 591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jc w:val="center"/>
      </w:pPr>
      <w:bookmarkStart w:id="2" w:name="P375"/>
      <w:bookmarkEnd w:id="2"/>
      <w:r>
        <w:t>СВЕДЕНИЯ</w:t>
      </w:r>
    </w:p>
    <w:p w:rsidR="007F3B04" w:rsidRDefault="007F3B04">
      <w:pPr>
        <w:pStyle w:val="ConsPlusNormal"/>
        <w:jc w:val="center"/>
      </w:pPr>
      <w:r>
        <w:t>О ПРОШЕДШИХ АТТЕСТАЦИЮ В АТТЕСТАЦИОННЫХ КОМИССИЯХ</w:t>
      </w:r>
    </w:p>
    <w:p w:rsidR="007F3B04" w:rsidRDefault="007F3B04">
      <w:pPr>
        <w:pStyle w:val="ConsPlusNormal"/>
        <w:jc w:val="center"/>
      </w:pPr>
      <w:r>
        <w:t>ФЕДЕРАЛЬНОЙ СЛУЖБЫ ПО ЭКОЛОГИЧЕСКОМУ, ТЕХНОЛОГИЧЕСКОМУ</w:t>
      </w:r>
    </w:p>
    <w:p w:rsidR="007F3B04" w:rsidRDefault="007F3B04">
      <w:pPr>
        <w:pStyle w:val="ConsPlusNormal"/>
        <w:jc w:val="center"/>
      </w:pPr>
      <w:r>
        <w:t>И АТОМНОМУ НАДЗОРУ</w:t>
      </w:r>
    </w:p>
    <w:p w:rsidR="007F3B04" w:rsidRDefault="007F3B0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570"/>
        <w:gridCol w:w="513"/>
        <w:gridCol w:w="570"/>
        <w:gridCol w:w="399"/>
        <w:gridCol w:w="456"/>
        <w:gridCol w:w="399"/>
        <w:gridCol w:w="399"/>
        <w:gridCol w:w="855"/>
        <w:gridCol w:w="399"/>
        <w:gridCol w:w="399"/>
        <w:gridCol w:w="399"/>
        <w:gridCol w:w="342"/>
      </w:tblGrid>
      <w:tr w:rsidR="007F3B04">
        <w:trPr>
          <w:trHeight w:val="151"/>
        </w:trPr>
        <w:tc>
          <w:tcPr>
            <w:tcW w:w="399" w:type="dxa"/>
            <w:vMerge w:val="restart"/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Штат-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ная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чис-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лен-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ность</w:t>
            </w:r>
          </w:p>
        </w:tc>
        <w:tc>
          <w:tcPr>
            <w:tcW w:w="1596" w:type="dxa"/>
            <w:gridSpan w:val="4"/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Сведения об организации</w:t>
            </w:r>
          </w:p>
        </w:tc>
        <w:tc>
          <w:tcPr>
            <w:tcW w:w="1083" w:type="dxa"/>
            <w:gridSpan w:val="2"/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Лица, подлежащие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аттестации в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аттестационных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комиссиях Службы</w:t>
            </w:r>
          </w:p>
        </w:tc>
        <w:tc>
          <w:tcPr>
            <w:tcW w:w="3078" w:type="dxa"/>
            <w:gridSpan w:val="6"/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Сведения об аттестации             </w:t>
            </w:r>
          </w:p>
        </w:tc>
        <w:tc>
          <w:tcPr>
            <w:tcW w:w="1539" w:type="dxa"/>
            <w:gridSpan w:val="4"/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Сведения об организа-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ции, проводившей пред-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аттестационную подго-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товку                 </w:t>
            </w:r>
          </w:p>
        </w:tc>
      </w:tr>
      <w:tr w:rsidR="007F3B04"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Наи-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мено-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вание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Адрес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ИНН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Теле-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фон/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570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Фамилия,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имя,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отчество</w:t>
            </w:r>
          </w:p>
        </w:tc>
        <w:tc>
          <w:tcPr>
            <w:tcW w:w="513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Занима-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емая 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долж-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0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Наимено-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вание 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аттеста-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ционной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комиссии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(ТАК)   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Протокол ат-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тестационной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комиссии    </w:t>
            </w:r>
          </w:p>
        </w:tc>
        <w:tc>
          <w:tcPr>
            <w:tcW w:w="1653" w:type="dxa"/>
            <w:gridSpan w:val="3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Документ об аттестации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(проверке знаний)   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Наи-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мено-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вание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Адрес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ИНН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ции  </w:t>
            </w:r>
          </w:p>
        </w:tc>
        <w:tc>
          <w:tcPr>
            <w:tcW w:w="342" w:type="dxa"/>
            <w:vMerge w:val="restart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ле-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фон/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</w:tr>
      <w:tr w:rsidR="007F3B04"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513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456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513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Номер</w:t>
            </w:r>
          </w:p>
        </w:tc>
        <w:tc>
          <w:tcPr>
            <w:tcW w:w="456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Дата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Номер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Срок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дей-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ствия</w:t>
            </w:r>
          </w:p>
        </w:tc>
        <w:tc>
          <w:tcPr>
            <w:tcW w:w="8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Области 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аттестации  </w:t>
            </w:r>
          </w:p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>(прилагаются)</w:t>
            </w:r>
          </w:p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342" w:type="dxa"/>
            <w:vMerge/>
            <w:tcBorders>
              <w:top w:val="nil"/>
            </w:tcBorders>
          </w:tcPr>
          <w:p w:rsidR="007F3B04" w:rsidRDefault="007F3B04"/>
        </w:tc>
        <w:tc>
          <w:tcPr>
            <w:tcW w:w="285" w:type="dxa"/>
            <w:vMerge/>
            <w:tcBorders>
              <w:top w:val="nil"/>
            </w:tcBorders>
          </w:tcPr>
          <w:p w:rsidR="007F3B04" w:rsidRDefault="007F3B04"/>
        </w:tc>
      </w:tr>
      <w:tr w:rsidR="007F3B04">
        <w:trPr>
          <w:trHeight w:val="151"/>
        </w:trPr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1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2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3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4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5  </w:t>
            </w:r>
          </w:p>
        </w:tc>
        <w:tc>
          <w:tcPr>
            <w:tcW w:w="570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6    </w:t>
            </w:r>
          </w:p>
        </w:tc>
        <w:tc>
          <w:tcPr>
            <w:tcW w:w="513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7   </w:t>
            </w:r>
          </w:p>
        </w:tc>
        <w:tc>
          <w:tcPr>
            <w:tcW w:w="570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8  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9  </w:t>
            </w:r>
          </w:p>
        </w:tc>
        <w:tc>
          <w:tcPr>
            <w:tcW w:w="456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10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11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12  </w:t>
            </w:r>
          </w:p>
        </w:tc>
        <w:tc>
          <w:tcPr>
            <w:tcW w:w="855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    13    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14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15  </w:t>
            </w:r>
          </w:p>
        </w:tc>
        <w:tc>
          <w:tcPr>
            <w:tcW w:w="399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16  </w:t>
            </w:r>
          </w:p>
        </w:tc>
        <w:tc>
          <w:tcPr>
            <w:tcW w:w="342" w:type="dxa"/>
            <w:tcBorders>
              <w:top w:val="nil"/>
            </w:tcBorders>
          </w:tcPr>
          <w:p w:rsidR="007F3B04" w:rsidRDefault="007F3B04">
            <w:pPr>
              <w:pStyle w:val="ConsPlusNonformat"/>
              <w:jc w:val="both"/>
            </w:pPr>
            <w:r>
              <w:rPr>
                <w:sz w:val="12"/>
              </w:rPr>
              <w:t xml:space="preserve"> 17 </w:t>
            </w:r>
          </w:p>
        </w:tc>
      </w:tr>
      <w:tr w:rsidR="007F3B04">
        <w:trPr>
          <w:trHeight w:val="151"/>
        </w:trPr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70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13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70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56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855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42" w:type="dxa"/>
          </w:tcPr>
          <w:p w:rsidR="007F3B04" w:rsidRDefault="007F3B04">
            <w:pPr>
              <w:pStyle w:val="ConsPlusNonformat"/>
              <w:jc w:val="both"/>
            </w:pPr>
          </w:p>
        </w:tc>
      </w:tr>
      <w:tr w:rsidR="007F3B04">
        <w:trPr>
          <w:trHeight w:val="151"/>
        </w:trPr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70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13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570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456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855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99" w:type="dxa"/>
          </w:tcPr>
          <w:p w:rsidR="007F3B04" w:rsidRDefault="007F3B04">
            <w:pPr>
              <w:pStyle w:val="ConsPlusNonformat"/>
              <w:jc w:val="both"/>
            </w:pPr>
          </w:p>
        </w:tc>
        <w:tc>
          <w:tcPr>
            <w:tcW w:w="342" w:type="dxa"/>
          </w:tcPr>
          <w:p w:rsidR="007F3B04" w:rsidRDefault="007F3B04">
            <w:pPr>
              <w:pStyle w:val="ConsPlusNonformat"/>
              <w:jc w:val="both"/>
            </w:pPr>
          </w:p>
        </w:tc>
      </w:tr>
    </w:tbl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nformat"/>
        <w:jc w:val="both"/>
      </w:pPr>
      <w:r>
        <w:rPr>
          <w:sz w:val="12"/>
        </w:rPr>
        <w:t>Руководитель _____________________________________________  _________  (___________________)</w:t>
      </w:r>
    </w:p>
    <w:p w:rsidR="007F3B04" w:rsidRDefault="007F3B04">
      <w:pPr>
        <w:pStyle w:val="ConsPlusNonformat"/>
        <w:jc w:val="both"/>
      </w:pPr>
      <w:r>
        <w:rPr>
          <w:sz w:val="12"/>
        </w:rPr>
        <w:t xml:space="preserve">             (наименование территориального органа Службы)  (подпись)   (фамилия, инициалы)</w:t>
      </w: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ind w:firstLine="540"/>
        <w:jc w:val="both"/>
      </w:pPr>
    </w:p>
    <w:p w:rsidR="007F3B04" w:rsidRDefault="007F3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E67" w:rsidRDefault="000E3E67">
      <w:bookmarkStart w:id="3" w:name="_GoBack"/>
      <w:bookmarkEnd w:id="3"/>
    </w:p>
    <w:sectPr w:rsidR="000E3E67" w:rsidSect="004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04"/>
    <w:rsid w:val="000E3E67"/>
    <w:rsid w:val="007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AA3C-EAA2-46F3-823C-F480567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0BD64512474B7E403518490096B205C205CE3C46079D83C59D3EA49F31821DA634A1670C0D20n93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90BD64512474B7E403C014E0096B200C805CA3642079D83C59D3EA4n93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0BD64512474B7E403C014E0096B200C805CC3A42079D83C59D3EA4n93FO" TargetMode="External"/><Relationship Id="rId5" Type="http://schemas.openxmlformats.org/officeDocument/2006/relationships/hyperlink" Target="consultantplus://offline/ref=DDA90BD64512474B7E403518490096B205C205CE3C46079D83C59D3EA49F31821DA634A1670C0D20n93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Валерия</dc:creator>
  <cp:keywords/>
  <dc:description/>
  <cp:lastModifiedBy>Соколова Валерия</cp:lastModifiedBy>
  <cp:revision>1</cp:revision>
  <dcterms:created xsi:type="dcterms:W3CDTF">2017-10-16T14:55:00Z</dcterms:created>
  <dcterms:modified xsi:type="dcterms:W3CDTF">2017-10-16T14:56:00Z</dcterms:modified>
</cp:coreProperties>
</file>