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6150C6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346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6150C6">
        <w:rPr>
          <w:sz w:val="22"/>
          <w:szCs w:val="22"/>
        </w:rPr>
        <w:t>22 июля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6150C6">
        <w:rPr>
          <w:sz w:val="22"/>
          <w:szCs w:val="22"/>
        </w:rPr>
        <w:t xml:space="preserve"> заседания Совета: 09.4</w:t>
      </w:r>
      <w:r>
        <w:rPr>
          <w:sz w:val="22"/>
          <w:szCs w:val="22"/>
        </w:rPr>
        <w:t>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6150C6">
        <w:rPr>
          <w:sz w:val="22"/>
          <w:szCs w:val="22"/>
        </w:rPr>
        <w:t>10.20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515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B4E5E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4B4E5E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присутствует </w:t>
      </w:r>
      <w:proofErr w:type="spellStart"/>
      <w:r w:rsidR="006150C6">
        <w:rPr>
          <w:sz w:val="22"/>
          <w:szCs w:val="22"/>
        </w:rPr>
        <w:t>и.о</w:t>
      </w:r>
      <w:proofErr w:type="spellEnd"/>
      <w:r w:rsidR="006150C6">
        <w:rPr>
          <w:sz w:val="22"/>
          <w:szCs w:val="22"/>
        </w:rPr>
        <w:t>. Руководителя</w:t>
      </w:r>
      <w:r>
        <w:rPr>
          <w:sz w:val="22"/>
          <w:szCs w:val="22"/>
        </w:rPr>
        <w:t xml:space="preserve"> Контрольного отдела </w:t>
      </w:r>
      <w:proofErr w:type="spellStart"/>
      <w:r w:rsidR="006150C6">
        <w:rPr>
          <w:sz w:val="22"/>
          <w:szCs w:val="22"/>
        </w:rPr>
        <w:t>Чибриков</w:t>
      </w:r>
      <w:proofErr w:type="spellEnd"/>
      <w:r w:rsidR="006150C6">
        <w:rPr>
          <w:sz w:val="22"/>
          <w:szCs w:val="22"/>
        </w:rPr>
        <w:t xml:space="preserve"> А.А</w:t>
      </w:r>
      <w:r>
        <w:rPr>
          <w:sz w:val="22"/>
          <w:szCs w:val="22"/>
        </w:rPr>
        <w:t>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6150C6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E24467" w:rsidRDefault="006150C6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>
        <w:rPr>
          <w:b/>
          <w:sz w:val="22"/>
          <w:szCs w:val="22"/>
        </w:rPr>
        <w:t xml:space="preserve">Слушали: </w:t>
      </w:r>
      <w:r w:rsidR="00E24467"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 w:rsidR="00E24467"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>
        <w:rPr>
          <w:sz w:val="22"/>
          <w:szCs w:val="22"/>
        </w:rPr>
        <w:t>одного вопроса</w:t>
      </w:r>
      <w:r w:rsidR="0048263C">
        <w:rPr>
          <w:sz w:val="22"/>
          <w:szCs w:val="22"/>
        </w:rPr>
        <w:t>.</w:t>
      </w:r>
    </w:p>
    <w:p w:rsidR="006150C6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</w:t>
      </w:r>
    </w:p>
    <w:p w:rsidR="00E24467" w:rsidRDefault="006150C6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24467">
        <w:rPr>
          <w:b/>
          <w:sz w:val="22"/>
          <w:szCs w:val="22"/>
        </w:rPr>
        <w:t xml:space="preserve">Голосовали: </w:t>
      </w:r>
      <w:r w:rsidR="00E24467">
        <w:rPr>
          <w:sz w:val="22"/>
          <w:szCs w:val="22"/>
        </w:rPr>
        <w:t xml:space="preserve">за утверждение </w:t>
      </w:r>
      <w:proofErr w:type="gramStart"/>
      <w:r w:rsidR="00E24467"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Pr="006150C6">
        <w:rPr>
          <w:sz w:val="22"/>
          <w:szCs w:val="22"/>
        </w:rPr>
        <w:t>одного вопроса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</w:t>
      </w:r>
      <w:r w:rsidR="006150C6" w:rsidRPr="006150C6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515C8E" w:rsidRDefault="00515C8E" w:rsidP="006150C6">
      <w:pPr>
        <w:pStyle w:val="a3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Возобновление действия свидетельства о допуске ООО </w:t>
      </w:r>
      <w:r w:rsidR="006150C6">
        <w:rPr>
          <w:sz w:val="22"/>
          <w:szCs w:val="22"/>
        </w:rPr>
        <w:t>«</w:t>
      </w:r>
      <w:proofErr w:type="spellStart"/>
      <w:r w:rsidR="006150C6"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 xml:space="preserve">» № </w:t>
      </w:r>
      <w:r w:rsidRPr="00515C8E">
        <w:rPr>
          <w:sz w:val="22"/>
          <w:szCs w:val="22"/>
        </w:rPr>
        <w:t>0154.01-20137714913129-С-207</w:t>
      </w:r>
      <w:r>
        <w:rPr>
          <w:sz w:val="22"/>
          <w:szCs w:val="22"/>
        </w:rPr>
        <w:t xml:space="preserve"> от 19.11.2013г.</w:t>
      </w:r>
    </w:p>
    <w:p w:rsidR="00A415F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</w:p>
    <w:p w:rsidR="004B4E5E" w:rsidRPr="007931B2" w:rsidRDefault="008019D7" w:rsidP="004B4E5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C3CB7">
        <w:rPr>
          <w:b/>
          <w:sz w:val="22"/>
          <w:szCs w:val="22"/>
        </w:rPr>
        <w:t xml:space="preserve">  </w:t>
      </w:r>
      <w:bookmarkStart w:id="0" w:name="_GoBack"/>
      <w:r w:rsidR="004B4E5E" w:rsidRPr="007931B2">
        <w:rPr>
          <w:b/>
          <w:sz w:val="22"/>
          <w:szCs w:val="22"/>
        </w:rPr>
        <w:t>Слушали:</w:t>
      </w:r>
    </w:p>
    <w:p w:rsidR="004B4E5E" w:rsidRPr="007931B2" w:rsidRDefault="004B4E5E" w:rsidP="004B4E5E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 w:rsidR="006150C6">
        <w:rPr>
          <w:sz w:val="22"/>
          <w:szCs w:val="22"/>
        </w:rPr>
        <w:t xml:space="preserve">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proofErr w:type="spellStart"/>
      <w:r w:rsidR="006150C6">
        <w:rPr>
          <w:sz w:val="22"/>
          <w:szCs w:val="22"/>
        </w:rPr>
        <w:t>и.о</w:t>
      </w:r>
      <w:proofErr w:type="spellEnd"/>
      <w:r w:rsidR="006150C6">
        <w:rPr>
          <w:sz w:val="22"/>
          <w:szCs w:val="22"/>
        </w:rPr>
        <w:t>. руководителя</w:t>
      </w:r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 w:rsidR="006150C6">
        <w:rPr>
          <w:sz w:val="22"/>
          <w:szCs w:val="22"/>
        </w:rPr>
        <w:t>Чибрикову</w:t>
      </w:r>
      <w:proofErr w:type="spellEnd"/>
      <w:r w:rsidR="006150C6">
        <w:rPr>
          <w:sz w:val="22"/>
          <w:szCs w:val="22"/>
        </w:rPr>
        <w:t xml:space="preserve"> А.А</w:t>
      </w:r>
      <w:r w:rsidRPr="007931B2">
        <w:rPr>
          <w:sz w:val="22"/>
          <w:szCs w:val="22"/>
        </w:rPr>
        <w:t>.</w:t>
      </w:r>
    </w:p>
    <w:p w:rsidR="004B4E5E" w:rsidRPr="007931B2" w:rsidRDefault="004B4E5E" w:rsidP="004B4E5E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Кленов В.В. выступил с заключением о соответствии </w:t>
      </w:r>
      <w:r w:rsidR="006150C6">
        <w:rPr>
          <w:sz w:val="22"/>
          <w:szCs w:val="22"/>
        </w:rPr>
        <w:t>ООО «</w:t>
      </w:r>
      <w:proofErr w:type="spellStart"/>
      <w:r w:rsidR="006150C6">
        <w:rPr>
          <w:sz w:val="22"/>
          <w:szCs w:val="22"/>
        </w:rPr>
        <w:t>ЮгБетонСтрой</w:t>
      </w:r>
      <w:proofErr w:type="spellEnd"/>
      <w:r w:rsidR="006150C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6150C6">
        <w:rPr>
          <w:sz w:val="22"/>
          <w:szCs w:val="22"/>
        </w:rPr>
        <w:t>(</w:t>
      </w:r>
      <w:r w:rsidR="006150C6" w:rsidRPr="006150C6">
        <w:rPr>
          <w:sz w:val="22"/>
          <w:szCs w:val="22"/>
        </w:rPr>
        <w:t>ИНН 7724232746 / ОГРН 1037739113345</w:t>
      </w:r>
      <w:r w:rsidR="006150C6">
        <w:rPr>
          <w:sz w:val="22"/>
          <w:szCs w:val="22"/>
        </w:rPr>
        <w:t>)</w:t>
      </w:r>
      <w:r w:rsidR="006150C6"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 w:rsidR="006150C6">
        <w:rPr>
          <w:sz w:val="22"/>
          <w:szCs w:val="22"/>
        </w:rPr>
        <w:t>20.07</w:t>
      </w:r>
      <w:r>
        <w:rPr>
          <w:sz w:val="22"/>
          <w:szCs w:val="22"/>
        </w:rPr>
        <w:t>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 w:rsidR="006150C6">
        <w:rPr>
          <w:sz w:val="22"/>
          <w:szCs w:val="22"/>
        </w:rPr>
        <w:t xml:space="preserve">договор страхования гражданской ответственности, заключенный на текущий период,  </w:t>
      </w:r>
      <w:r w:rsidRPr="007931B2">
        <w:rPr>
          <w:sz w:val="22"/>
          <w:szCs w:val="22"/>
        </w:rPr>
        <w:t>что подтверждает факт устранения нарушений, послуживших</w:t>
      </w:r>
      <w:proofErr w:type="gramEnd"/>
      <w:r w:rsidRPr="007931B2">
        <w:rPr>
          <w:sz w:val="22"/>
          <w:szCs w:val="22"/>
        </w:rPr>
        <w:t xml:space="preserve">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№ </w:t>
      </w:r>
      <w:r w:rsidR="006150C6" w:rsidRPr="006150C6">
        <w:rPr>
          <w:sz w:val="22"/>
          <w:szCs w:val="22"/>
        </w:rPr>
        <w:t xml:space="preserve">0020.04-2012-7724232746-С-207 </w:t>
      </w:r>
      <w:r w:rsidRPr="00E220D8">
        <w:rPr>
          <w:sz w:val="22"/>
          <w:szCs w:val="22"/>
        </w:rPr>
        <w:t xml:space="preserve">от </w:t>
      </w:r>
      <w:r w:rsidR="006150C6">
        <w:rPr>
          <w:sz w:val="22"/>
          <w:szCs w:val="22"/>
        </w:rPr>
        <w:t>27.09.2012г</w:t>
      </w:r>
      <w:r>
        <w:rPr>
          <w:sz w:val="22"/>
          <w:szCs w:val="22"/>
        </w:rPr>
        <w:t>.</w:t>
      </w:r>
    </w:p>
    <w:p w:rsidR="004B4E5E" w:rsidRDefault="004B4E5E" w:rsidP="004B4E5E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4B4E5E" w:rsidRPr="007931B2" w:rsidRDefault="004B4E5E" w:rsidP="004B4E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4B4E5E" w:rsidRDefault="004B4E5E" w:rsidP="004B4E5E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</w:t>
      </w:r>
      <w:proofErr w:type="gramStart"/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 ООО</w:t>
      </w:r>
      <w:proofErr w:type="gramEnd"/>
      <w:r w:rsidRPr="007931B2">
        <w:rPr>
          <w:sz w:val="22"/>
          <w:szCs w:val="22"/>
        </w:rPr>
        <w:t xml:space="preserve"> </w:t>
      </w:r>
      <w:r w:rsidR="006150C6">
        <w:rPr>
          <w:sz w:val="22"/>
          <w:szCs w:val="22"/>
        </w:rPr>
        <w:t>«</w:t>
      </w:r>
      <w:proofErr w:type="spellStart"/>
      <w:r w:rsidR="006150C6" w:rsidRPr="006150C6">
        <w:rPr>
          <w:sz w:val="22"/>
          <w:szCs w:val="22"/>
        </w:rPr>
        <w:t>ЮгБетонСтрой</w:t>
      </w:r>
      <w:proofErr w:type="spellEnd"/>
      <w:r w:rsidRPr="007931B2"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6150C6" w:rsidRPr="006150C6">
        <w:rPr>
          <w:sz w:val="22"/>
          <w:szCs w:val="22"/>
        </w:rPr>
        <w:t>№ 0020.04-2012-7724232746-С-207 от 27.09.2012г.</w:t>
      </w:r>
    </w:p>
    <w:p w:rsidR="003F3758" w:rsidRPr="007931B2" w:rsidRDefault="003F3758" w:rsidP="004B4E5E">
      <w:pPr>
        <w:jc w:val="both"/>
        <w:rPr>
          <w:sz w:val="22"/>
          <w:szCs w:val="22"/>
        </w:rPr>
      </w:pPr>
    </w:p>
    <w:p w:rsidR="006150C6" w:rsidRDefault="006150C6" w:rsidP="004B4E5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B4E5E" w:rsidRPr="007931B2" w:rsidRDefault="004B4E5E" w:rsidP="004B4E5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4B4E5E" w:rsidRPr="007931B2" w:rsidRDefault="004B4E5E" w:rsidP="004B4E5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4B4E5E" w:rsidRPr="007931B2" w:rsidRDefault="004B4E5E" w:rsidP="004B4E5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4B4E5E" w:rsidRPr="007931B2" w:rsidRDefault="004B4E5E" w:rsidP="004B4E5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4B4E5E" w:rsidRPr="007931B2" w:rsidRDefault="004B4E5E" w:rsidP="004B4E5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B4E5E" w:rsidRPr="007931B2" w:rsidRDefault="004B4E5E" w:rsidP="004B4E5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4B4E5E" w:rsidRPr="007931B2" w:rsidRDefault="004B4E5E" w:rsidP="004B4E5E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6150C6">
        <w:rPr>
          <w:sz w:val="22"/>
          <w:szCs w:val="22"/>
        </w:rPr>
        <w:t xml:space="preserve">1. </w:t>
      </w:r>
      <w:r w:rsidRPr="007931B2">
        <w:rPr>
          <w:sz w:val="22"/>
          <w:szCs w:val="22"/>
        </w:rPr>
        <w:t xml:space="preserve">Возобновить действие </w:t>
      </w:r>
      <w:r>
        <w:rPr>
          <w:sz w:val="22"/>
          <w:szCs w:val="22"/>
        </w:rPr>
        <w:t xml:space="preserve">свидетельства </w:t>
      </w:r>
      <w:r w:rsidR="006150C6" w:rsidRPr="006150C6">
        <w:rPr>
          <w:sz w:val="22"/>
          <w:szCs w:val="22"/>
        </w:rPr>
        <w:t>№ 0020.04-2012-7724232746-С-207 от 27.09.2012г.</w:t>
      </w:r>
      <w:r w:rsidR="006150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="006150C6">
        <w:rPr>
          <w:sz w:val="22"/>
          <w:szCs w:val="22"/>
        </w:rPr>
        <w:t>ООО «</w:t>
      </w:r>
      <w:proofErr w:type="spellStart"/>
      <w:r w:rsidR="006150C6">
        <w:rPr>
          <w:sz w:val="22"/>
          <w:szCs w:val="22"/>
        </w:rPr>
        <w:t>ЮгБетонСтрой</w:t>
      </w:r>
      <w:proofErr w:type="spellEnd"/>
      <w:r w:rsidR="006150C6">
        <w:rPr>
          <w:sz w:val="22"/>
          <w:szCs w:val="22"/>
        </w:rPr>
        <w:t xml:space="preserve">» </w:t>
      </w:r>
      <w:r w:rsidRPr="007931B2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 w:rsidR="006150C6">
        <w:rPr>
          <w:sz w:val="22"/>
          <w:szCs w:val="22"/>
        </w:rPr>
        <w:t>в связи с устранением нарушений, послуживших основанием для его приостановления 29.06.2015г.</w:t>
      </w:r>
    </w:p>
    <w:p w:rsidR="004B4E5E" w:rsidRPr="007931B2" w:rsidRDefault="004B4E5E" w:rsidP="004B4E5E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6150C6">
        <w:rPr>
          <w:sz w:val="22"/>
          <w:szCs w:val="22"/>
        </w:rPr>
        <w:t xml:space="preserve">2. </w:t>
      </w:r>
      <w:r w:rsidRPr="007931B2">
        <w:rPr>
          <w:sz w:val="22"/>
          <w:szCs w:val="22"/>
        </w:rPr>
        <w:t xml:space="preserve">Уведомить ООО </w:t>
      </w:r>
      <w:r w:rsidR="006150C6">
        <w:rPr>
          <w:sz w:val="22"/>
          <w:szCs w:val="22"/>
        </w:rPr>
        <w:t>«</w:t>
      </w:r>
      <w:proofErr w:type="spellStart"/>
      <w:r w:rsidR="006150C6" w:rsidRPr="006150C6">
        <w:rPr>
          <w:sz w:val="22"/>
          <w:szCs w:val="22"/>
        </w:rPr>
        <w:t>ЮгБетонСтрой</w:t>
      </w:r>
      <w:proofErr w:type="spellEnd"/>
      <w:r w:rsidRPr="007931B2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bookmarkEnd w:id="0"/>
    <w:p w:rsidR="00532522" w:rsidRDefault="00532522" w:rsidP="00302D87">
      <w:pPr>
        <w:tabs>
          <w:tab w:val="left" w:pos="0"/>
        </w:tabs>
        <w:jc w:val="both"/>
        <w:rPr>
          <w:sz w:val="22"/>
          <w:szCs w:val="22"/>
        </w:rPr>
      </w:pPr>
    </w:p>
    <w:p w:rsidR="00E24467" w:rsidRDefault="003F3758" w:rsidP="006150C6">
      <w:pPr>
        <w:tabs>
          <w:tab w:val="left" w:pos="900"/>
          <w:tab w:val="left" w:pos="993"/>
        </w:tabs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1E1B4F">
        <w:rPr>
          <w:b/>
          <w:sz w:val="22"/>
          <w:szCs w:val="22"/>
        </w:rPr>
        <w:t xml:space="preserve"> </w:t>
      </w:r>
      <w:r w:rsidR="005F08B6">
        <w:rPr>
          <w:b/>
          <w:i/>
          <w:sz w:val="22"/>
          <w:szCs w:val="22"/>
        </w:rPr>
        <w:t xml:space="preserve">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 w:rsidP="00515C8E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</w:t>
            </w:r>
            <w:r w:rsidR="00515C8E">
              <w:rPr>
                <w:sz w:val="22"/>
                <w:szCs w:val="22"/>
              </w:rPr>
              <w:t>А.Е. Снегирев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6150C6">
      <w:footerReference w:type="default" r:id="rId8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11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7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8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>
    <w:nsid w:val="65AE11F5"/>
    <w:multiLevelType w:val="hybridMultilevel"/>
    <w:tmpl w:val="D7905942"/>
    <w:lvl w:ilvl="0" w:tplc="C3262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0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19"/>
  </w:num>
  <w:num w:numId="17">
    <w:abstractNumId w:val="16"/>
  </w:num>
  <w:num w:numId="18">
    <w:abstractNumId w:val="3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86211"/>
    <w:rsid w:val="000A6097"/>
    <w:rsid w:val="001E1B4F"/>
    <w:rsid w:val="00220BBA"/>
    <w:rsid w:val="002854C8"/>
    <w:rsid w:val="00285D01"/>
    <w:rsid w:val="002D3E0F"/>
    <w:rsid w:val="002F0BC2"/>
    <w:rsid w:val="002F0C06"/>
    <w:rsid w:val="00302D87"/>
    <w:rsid w:val="0036326B"/>
    <w:rsid w:val="00364C0C"/>
    <w:rsid w:val="003B1E92"/>
    <w:rsid w:val="003F3758"/>
    <w:rsid w:val="0048263C"/>
    <w:rsid w:val="004B4E5E"/>
    <w:rsid w:val="004E4FC9"/>
    <w:rsid w:val="00515C8E"/>
    <w:rsid w:val="00532522"/>
    <w:rsid w:val="005939D8"/>
    <w:rsid w:val="005F08B6"/>
    <w:rsid w:val="006150C6"/>
    <w:rsid w:val="00636589"/>
    <w:rsid w:val="006446EB"/>
    <w:rsid w:val="006B24F6"/>
    <w:rsid w:val="0073263B"/>
    <w:rsid w:val="0078277F"/>
    <w:rsid w:val="007931B2"/>
    <w:rsid w:val="007B204D"/>
    <w:rsid w:val="008019D7"/>
    <w:rsid w:val="008178FF"/>
    <w:rsid w:val="008F6036"/>
    <w:rsid w:val="00952CBE"/>
    <w:rsid w:val="00A415F7"/>
    <w:rsid w:val="00AF50E6"/>
    <w:rsid w:val="00B24C02"/>
    <w:rsid w:val="00B74774"/>
    <w:rsid w:val="00BD515B"/>
    <w:rsid w:val="00C54088"/>
    <w:rsid w:val="00C961A9"/>
    <w:rsid w:val="00CC3CB7"/>
    <w:rsid w:val="00D92B20"/>
    <w:rsid w:val="00DB1B2A"/>
    <w:rsid w:val="00E220D8"/>
    <w:rsid w:val="00E24467"/>
    <w:rsid w:val="00F05D9F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2015-07-22T06:20:00Z</cp:lastPrinted>
  <dcterms:created xsi:type="dcterms:W3CDTF">2015-07-22T06:12:00Z</dcterms:created>
  <dcterms:modified xsi:type="dcterms:W3CDTF">2015-07-22T06:26:00Z</dcterms:modified>
</cp:coreProperties>
</file>